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2DD1" w14:textId="77777777" w:rsidR="008C2973" w:rsidRDefault="002B7BEC" w:rsidP="006A6B09">
      <w:pPr>
        <w:pStyle w:val="Heading1"/>
      </w:pPr>
      <w:bookmarkStart w:id="0" w:name="_Toc4929736"/>
      <w:r>
        <w:t>Introduction</w:t>
      </w:r>
      <w:bookmarkEnd w:id="0"/>
    </w:p>
    <w:p w14:paraId="041E2DD2" w14:textId="77777777" w:rsidR="003741ED" w:rsidRDefault="003741ED" w:rsidP="003741ED">
      <w:pPr>
        <w:pStyle w:val="Contents"/>
      </w:pPr>
      <w:bookmarkStart w:id="1" w:name="_Toc405792991"/>
      <w:bookmarkStart w:id="2" w:name="_Toc405793224"/>
      <w:r w:rsidRPr="00A51AA8">
        <w:t>Con</w:t>
      </w:r>
      <w:r>
        <w:t>tents</w:t>
      </w:r>
      <w:bookmarkEnd w:id="1"/>
      <w:bookmarkEnd w:id="2"/>
    </w:p>
    <w:p w14:paraId="041E2DD3" w14:textId="77777777" w:rsidR="00CB0864"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Pr>
          <w:noProof/>
        </w:rPr>
        <w:t>1.1</w:t>
      </w:r>
      <w:r>
        <w:rPr>
          <w:rFonts w:asciiTheme="minorHAnsi" w:eastAsiaTheme="minorEastAsia" w:hAnsiTheme="minorHAnsi" w:cstheme="minorBidi"/>
          <w:noProof/>
          <w:sz w:val="22"/>
          <w:szCs w:val="22"/>
          <w:lang w:eastAsia="en-NZ"/>
        </w:rPr>
        <w:tab/>
      </w:r>
      <w:r>
        <w:rPr>
          <w:noProof/>
        </w:rPr>
        <w:t>Introduction</w:t>
      </w:r>
      <w:r>
        <w:rPr>
          <w:noProof/>
        </w:rPr>
        <w:tab/>
      </w:r>
      <w:r>
        <w:rPr>
          <w:noProof/>
        </w:rPr>
        <w:fldChar w:fldCharType="begin"/>
      </w:r>
      <w:r>
        <w:rPr>
          <w:noProof/>
        </w:rPr>
        <w:instrText xml:space="preserve"> PAGEREF _Toc8979299 \h </w:instrText>
      </w:r>
      <w:r>
        <w:rPr>
          <w:noProof/>
        </w:rPr>
      </w:r>
      <w:r>
        <w:rPr>
          <w:noProof/>
        </w:rPr>
        <w:fldChar w:fldCharType="separate"/>
      </w:r>
      <w:r w:rsidR="00BC7B71">
        <w:rPr>
          <w:noProof/>
        </w:rPr>
        <w:t>3</w:t>
      </w:r>
      <w:r>
        <w:rPr>
          <w:noProof/>
        </w:rPr>
        <w:fldChar w:fldCharType="end"/>
      </w:r>
    </w:p>
    <w:p w14:paraId="041E2DD4" w14:textId="77777777" w:rsidR="00CB0864" w:rsidRDefault="00CB0864">
      <w:pPr>
        <w:pStyle w:val="TOC2"/>
        <w:rPr>
          <w:rFonts w:asciiTheme="minorHAnsi" w:eastAsiaTheme="minorEastAsia" w:hAnsiTheme="minorHAnsi" w:cstheme="minorBidi"/>
          <w:noProof/>
          <w:szCs w:val="22"/>
          <w:lang w:eastAsia="en-NZ"/>
        </w:rPr>
      </w:pPr>
      <w:r>
        <w:rPr>
          <w:noProof/>
        </w:rPr>
        <w:t>1.1.1</w:t>
      </w:r>
      <w:r>
        <w:rPr>
          <w:rFonts w:asciiTheme="minorHAnsi" w:eastAsiaTheme="minorEastAsia" w:hAnsiTheme="minorHAnsi" w:cstheme="minorBidi"/>
          <w:noProof/>
          <w:szCs w:val="22"/>
          <w:lang w:eastAsia="en-NZ"/>
        </w:rPr>
        <w:tab/>
      </w:r>
      <w:r>
        <w:rPr>
          <w:noProof/>
        </w:rPr>
        <w:t>Purpose of the guidelines</w:t>
      </w:r>
      <w:r>
        <w:rPr>
          <w:noProof/>
        </w:rPr>
        <w:tab/>
      </w:r>
      <w:r>
        <w:rPr>
          <w:noProof/>
        </w:rPr>
        <w:fldChar w:fldCharType="begin"/>
      </w:r>
      <w:r>
        <w:rPr>
          <w:noProof/>
        </w:rPr>
        <w:instrText xml:space="preserve"> PAGEREF _Toc8979300 \h </w:instrText>
      </w:r>
      <w:r>
        <w:rPr>
          <w:noProof/>
        </w:rPr>
      </w:r>
      <w:r>
        <w:rPr>
          <w:noProof/>
        </w:rPr>
        <w:fldChar w:fldCharType="separate"/>
      </w:r>
      <w:r w:rsidR="00BC7B71">
        <w:rPr>
          <w:noProof/>
        </w:rPr>
        <w:t>3</w:t>
      </w:r>
      <w:r>
        <w:rPr>
          <w:noProof/>
        </w:rPr>
        <w:fldChar w:fldCharType="end"/>
      </w:r>
    </w:p>
    <w:p w14:paraId="041E2DD5" w14:textId="77777777" w:rsidR="00CB0864" w:rsidRDefault="00CB0864">
      <w:pPr>
        <w:pStyle w:val="TOC2"/>
        <w:rPr>
          <w:rFonts w:asciiTheme="minorHAnsi" w:eastAsiaTheme="minorEastAsia" w:hAnsiTheme="minorHAnsi" w:cstheme="minorBidi"/>
          <w:noProof/>
          <w:szCs w:val="22"/>
          <w:lang w:eastAsia="en-NZ"/>
        </w:rPr>
      </w:pPr>
      <w:r>
        <w:rPr>
          <w:noProof/>
        </w:rPr>
        <w:t>1.1.2</w:t>
      </w:r>
      <w:r>
        <w:rPr>
          <w:rFonts w:asciiTheme="minorHAnsi" w:eastAsiaTheme="minorEastAsia" w:hAnsiTheme="minorHAnsi" w:cstheme="minorBidi"/>
          <w:noProof/>
          <w:szCs w:val="22"/>
          <w:lang w:eastAsia="en-NZ"/>
        </w:rPr>
        <w:tab/>
      </w:r>
      <w:r>
        <w:rPr>
          <w:noProof/>
        </w:rPr>
        <w:t>Background</w:t>
      </w:r>
      <w:r>
        <w:rPr>
          <w:noProof/>
        </w:rPr>
        <w:tab/>
      </w:r>
      <w:r>
        <w:rPr>
          <w:noProof/>
        </w:rPr>
        <w:fldChar w:fldCharType="begin"/>
      </w:r>
      <w:r>
        <w:rPr>
          <w:noProof/>
        </w:rPr>
        <w:instrText xml:space="preserve"> PAGEREF _Toc8979301 \h </w:instrText>
      </w:r>
      <w:r>
        <w:rPr>
          <w:noProof/>
        </w:rPr>
      </w:r>
      <w:r>
        <w:rPr>
          <w:noProof/>
        </w:rPr>
        <w:fldChar w:fldCharType="separate"/>
      </w:r>
      <w:r w:rsidR="00BC7B71">
        <w:rPr>
          <w:noProof/>
        </w:rPr>
        <w:t>4</w:t>
      </w:r>
      <w:r>
        <w:rPr>
          <w:noProof/>
        </w:rPr>
        <w:fldChar w:fldCharType="end"/>
      </w:r>
    </w:p>
    <w:p w14:paraId="041E2DD6" w14:textId="77777777" w:rsidR="00CB0864" w:rsidRDefault="00CB0864">
      <w:pPr>
        <w:pStyle w:val="TOC2"/>
        <w:rPr>
          <w:rFonts w:asciiTheme="minorHAnsi" w:eastAsiaTheme="minorEastAsia" w:hAnsiTheme="minorHAnsi" w:cstheme="minorBidi"/>
          <w:noProof/>
          <w:szCs w:val="22"/>
          <w:lang w:eastAsia="en-NZ"/>
        </w:rPr>
      </w:pPr>
      <w:r>
        <w:rPr>
          <w:noProof/>
        </w:rPr>
        <w:t>1.1.3</w:t>
      </w:r>
      <w:r>
        <w:rPr>
          <w:rFonts w:asciiTheme="minorHAnsi" w:eastAsiaTheme="minorEastAsia" w:hAnsiTheme="minorHAnsi" w:cstheme="minorBidi"/>
          <w:noProof/>
          <w:szCs w:val="22"/>
          <w:lang w:eastAsia="en-NZ"/>
        </w:rPr>
        <w:tab/>
      </w:r>
      <w:r>
        <w:rPr>
          <w:noProof/>
        </w:rPr>
        <w:t>Waterborne diseases in New Zealand</w:t>
      </w:r>
      <w:r>
        <w:rPr>
          <w:noProof/>
        </w:rPr>
        <w:tab/>
      </w:r>
      <w:r>
        <w:rPr>
          <w:noProof/>
        </w:rPr>
        <w:fldChar w:fldCharType="begin"/>
      </w:r>
      <w:r>
        <w:rPr>
          <w:noProof/>
        </w:rPr>
        <w:instrText xml:space="preserve"> PAGEREF _Toc8979302 \h </w:instrText>
      </w:r>
      <w:r>
        <w:rPr>
          <w:noProof/>
        </w:rPr>
      </w:r>
      <w:r>
        <w:rPr>
          <w:noProof/>
        </w:rPr>
        <w:fldChar w:fldCharType="separate"/>
      </w:r>
      <w:r w:rsidR="00BC7B71">
        <w:rPr>
          <w:noProof/>
        </w:rPr>
        <w:t>5</w:t>
      </w:r>
      <w:r>
        <w:rPr>
          <w:noProof/>
        </w:rPr>
        <w:fldChar w:fldCharType="end"/>
      </w:r>
    </w:p>
    <w:p w14:paraId="041E2DD7" w14:textId="77777777" w:rsidR="00CB0864" w:rsidRDefault="00CB0864">
      <w:pPr>
        <w:pStyle w:val="TOC2"/>
        <w:rPr>
          <w:rFonts w:asciiTheme="minorHAnsi" w:eastAsiaTheme="minorEastAsia" w:hAnsiTheme="minorHAnsi" w:cstheme="minorBidi"/>
          <w:noProof/>
          <w:szCs w:val="22"/>
          <w:lang w:eastAsia="en-NZ"/>
        </w:rPr>
      </w:pPr>
      <w:r>
        <w:rPr>
          <w:noProof/>
        </w:rPr>
        <w:t>1.1.4</w:t>
      </w:r>
      <w:r>
        <w:rPr>
          <w:rFonts w:asciiTheme="minorHAnsi" w:eastAsiaTheme="minorEastAsia" w:hAnsiTheme="minorHAnsi" w:cstheme="minorBidi"/>
          <w:noProof/>
          <w:szCs w:val="22"/>
          <w:lang w:eastAsia="en-NZ"/>
        </w:rPr>
        <w:tab/>
      </w:r>
      <w:r>
        <w:rPr>
          <w:noProof/>
        </w:rPr>
        <w:t>The cost of providing potable drinking-water</w:t>
      </w:r>
      <w:r>
        <w:rPr>
          <w:noProof/>
        </w:rPr>
        <w:tab/>
      </w:r>
      <w:r>
        <w:rPr>
          <w:noProof/>
        </w:rPr>
        <w:fldChar w:fldCharType="begin"/>
      </w:r>
      <w:r>
        <w:rPr>
          <w:noProof/>
        </w:rPr>
        <w:instrText xml:space="preserve"> PAGEREF _Toc8979303 \h </w:instrText>
      </w:r>
      <w:r>
        <w:rPr>
          <w:noProof/>
        </w:rPr>
      </w:r>
      <w:r>
        <w:rPr>
          <w:noProof/>
        </w:rPr>
        <w:fldChar w:fldCharType="separate"/>
      </w:r>
      <w:r w:rsidR="00BC7B71">
        <w:rPr>
          <w:noProof/>
        </w:rPr>
        <w:t>13</w:t>
      </w:r>
      <w:r>
        <w:rPr>
          <w:noProof/>
        </w:rPr>
        <w:fldChar w:fldCharType="end"/>
      </w:r>
    </w:p>
    <w:p w14:paraId="041E2DD8" w14:textId="77777777" w:rsidR="00CB0864" w:rsidRDefault="00CB0864">
      <w:pPr>
        <w:pStyle w:val="TOC2"/>
        <w:rPr>
          <w:rFonts w:asciiTheme="minorHAnsi" w:eastAsiaTheme="minorEastAsia" w:hAnsiTheme="minorHAnsi" w:cstheme="minorBidi"/>
          <w:noProof/>
          <w:szCs w:val="22"/>
          <w:lang w:eastAsia="en-NZ"/>
        </w:rPr>
      </w:pPr>
      <w:r>
        <w:rPr>
          <w:noProof/>
        </w:rPr>
        <w:t>1.1.5</w:t>
      </w:r>
      <w:r>
        <w:rPr>
          <w:rFonts w:asciiTheme="minorHAnsi" w:eastAsiaTheme="minorEastAsia" w:hAnsiTheme="minorHAnsi" w:cstheme="minorBidi"/>
          <w:noProof/>
          <w:szCs w:val="22"/>
          <w:lang w:eastAsia="en-NZ"/>
        </w:rPr>
        <w:tab/>
      </w:r>
      <w:r>
        <w:rPr>
          <w:noProof/>
        </w:rPr>
        <w:t>The benefits of potable drinking-water supplies</w:t>
      </w:r>
      <w:r>
        <w:rPr>
          <w:noProof/>
        </w:rPr>
        <w:tab/>
      </w:r>
      <w:r>
        <w:rPr>
          <w:noProof/>
        </w:rPr>
        <w:fldChar w:fldCharType="begin"/>
      </w:r>
      <w:r>
        <w:rPr>
          <w:noProof/>
        </w:rPr>
        <w:instrText xml:space="preserve"> PAGEREF _Toc8979304 \h </w:instrText>
      </w:r>
      <w:r>
        <w:rPr>
          <w:noProof/>
        </w:rPr>
      </w:r>
      <w:r>
        <w:rPr>
          <w:noProof/>
        </w:rPr>
        <w:fldChar w:fldCharType="separate"/>
      </w:r>
      <w:r w:rsidR="00BC7B71">
        <w:rPr>
          <w:noProof/>
        </w:rPr>
        <w:t>14</w:t>
      </w:r>
      <w:r>
        <w:rPr>
          <w:noProof/>
        </w:rPr>
        <w:fldChar w:fldCharType="end"/>
      </w:r>
    </w:p>
    <w:p w14:paraId="041E2DD9" w14:textId="77777777" w:rsidR="00CB0864" w:rsidRDefault="00CB0864">
      <w:pPr>
        <w:pStyle w:val="TOC1"/>
        <w:rPr>
          <w:rFonts w:asciiTheme="minorHAnsi" w:eastAsiaTheme="minorEastAsia" w:hAnsiTheme="minorHAnsi" w:cstheme="minorBidi"/>
          <w:noProof/>
          <w:sz w:val="22"/>
          <w:szCs w:val="22"/>
          <w:lang w:eastAsia="en-NZ"/>
        </w:rPr>
      </w:pPr>
      <w:r>
        <w:rPr>
          <w:noProof/>
        </w:rPr>
        <w:t>1.2</w:t>
      </w:r>
      <w:r>
        <w:rPr>
          <w:rFonts w:asciiTheme="minorHAnsi" w:eastAsiaTheme="minorEastAsia" w:hAnsiTheme="minorHAnsi" w:cstheme="minorBidi"/>
          <w:noProof/>
          <w:sz w:val="22"/>
          <w:szCs w:val="22"/>
          <w:lang w:eastAsia="en-NZ"/>
        </w:rPr>
        <w:tab/>
      </w:r>
      <w:r>
        <w:rPr>
          <w:noProof/>
        </w:rPr>
        <w:t>Ministry of Health public health protection strategy for drinking-water 1993–1995</w:t>
      </w:r>
      <w:r>
        <w:rPr>
          <w:noProof/>
        </w:rPr>
        <w:tab/>
      </w:r>
      <w:r>
        <w:rPr>
          <w:noProof/>
        </w:rPr>
        <w:fldChar w:fldCharType="begin"/>
      </w:r>
      <w:r>
        <w:rPr>
          <w:noProof/>
        </w:rPr>
        <w:instrText xml:space="preserve"> PAGEREF _Toc8979305 \h </w:instrText>
      </w:r>
      <w:r>
        <w:rPr>
          <w:noProof/>
        </w:rPr>
      </w:r>
      <w:r>
        <w:rPr>
          <w:noProof/>
        </w:rPr>
        <w:fldChar w:fldCharType="separate"/>
      </w:r>
      <w:r w:rsidR="00BC7B71">
        <w:rPr>
          <w:noProof/>
        </w:rPr>
        <w:t>18</w:t>
      </w:r>
      <w:r>
        <w:rPr>
          <w:noProof/>
        </w:rPr>
        <w:fldChar w:fldCharType="end"/>
      </w:r>
    </w:p>
    <w:p w14:paraId="041E2DDA" w14:textId="77777777" w:rsidR="00CB0864" w:rsidRDefault="00CB0864">
      <w:pPr>
        <w:pStyle w:val="TOC2"/>
        <w:rPr>
          <w:rFonts w:asciiTheme="minorHAnsi" w:eastAsiaTheme="minorEastAsia" w:hAnsiTheme="minorHAnsi" w:cstheme="minorBidi"/>
          <w:noProof/>
          <w:szCs w:val="22"/>
          <w:lang w:eastAsia="en-NZ"/>
        </w:rPr>
      </w:pPr>
      <w:r>
        <w:rPr>
          <w:noProof/>
        </w:rPr>
        <w:t>1.2.1</w:t>
      </w:r>
      <w:r>
        <w:rPr>
          <w:rFonts w:asciiTheme="minorHAnsi" w:eastAsiaTheme="minorEastAsia" w:hAnsiTheme="minorHAnsi" w:cstheme="minorBidi"/>
          <w:noProof/>
          <w:szCs w:val="22"/>
          <w:lang w:eastAsia="en-NZ"/>
        </w:rPr>
        <w:tab/>
      </w:r>
      <w:r>
        <w:rPr>
          <w:noProof/>
        </w:rPr>
        <w:t>Strategy development</w:t>
      </w:r>
      <w:r>
        <w:rPr>
          <w:noProof/>
        </w:rPr>
        <w:tab/>
      </w:r>
      <w:r>
        <w:rPr>
          <w:noProof/>
        </w:rPr>
        <w:fldChar w:fldCharType="begin"/>
      </w:r>
      <w:r>
        <w:rPr>
          <w:noProof/>
        </w:rPr>
        <w:instrText xml:space="preserve"> PAGEREF _Toc8979306 \h </w:instrText>
      </w:r>
      <w:r>
        <w:rPr>
          <w:noProof/>
        </w:rPr>
      </w:r>
      <w:r>
        <w:rPr>
          <w:noProof/>
        </w:rPr>
        <w:fldChar w:fldCharType="separate"/>
      </w:r>
      <w:r w:rsidR="00BC7B71">
        <w:rPr>
          <w:noProof/>
        </w:rPr>
        <w:t>18</w:t>
      </w:r>
      <w:r>
        <w:rPr>
          <w:noProof/>
        </w:rPr>
        <w:fldChar w:fldCharType="end"/>
      </w:r>
    </w:p>
    <w:p w14:paraId="041E2DDB" w14:textId="77777777" w:rsidR="00CB0864" w:rsidRDefault="00CB0864">
      <w:pPr>
        <w:pStyle w:val="TOC2"/>
        <w:rPr>
          <w:rFonts w:asciiTheme="minorHAnsi" w:eastAsiaTheme="minorEastAsia" w:hAnsiTheme="minorHAnsi" w:cstheme="minorBidi"/>
          <w:noProof/>
          <w:szCs w:val="22"/>
          <w:lang w:eastAsia="en-NZ"/>
        </w:rPr>
      </w:pPr>
      <w:r>
        <w:rPr>
          <w:noProof/>
        </w:rPr>
        <w:t>1.2.2</w:t>
      </w:r>
      <w:r>
        <w:rPr>
          <w:rFonts w:asciiTheme="minorHAnsi" w:eastAsiaTheme="minorEastAsia" w:hAnsiTheme="minorHAnsi" w:cstheme="minorBidi"/>
          <w:noProof/>
          <w:szCs w:val="22"/>
          <w:lang w:eastAsia="en-NZ"/>
        </w:rPr>
        <w:tab/>
      </w:r>
      <w:r>
        <w:rPr>
          <w:noProof/>
        </w:rPr>
        <w:t>Outline of the strategy</w:t>
      </w:r>
      <w:r>
        <w:rPr>
          <w:noProof/>
        </w:rPr>
        <w:tab/>
      </w:r>
      <w:r>
        <w:rPr>
          <w:noProof/>
        </w:rPr>
        <w:fldChar w:fldCharType="begin"/>
      </w:r>
      <w:r>
        <w:rPr>
          <w:noProof/>
        </w:rPr>
        <w:instrText xml:space="preserve"> PAGEREF _Toc8979307 \h </w:instrText>
      </w:r>
      <w:r>
        <w:rPr>
          <w:noProof/>
        </w:rPr>
      </w:r>
      <w:r>
        <w:rPr>
          <w:noProof/>
        </w:rPr>
        <w:fldChar w:fldCharType="separate"/>
      </w:r>
      <w:r w:rsidR="00BC7B71">
        <w:rPr>
          <w:noProof/>
        </w:rPr>
        <w:t>19</w:t>
      </w:r>
      <w:r>
        <w:rPr>
          <w:noProof/>
        </w:rPr>
        <w:fldChar w:fldCharType="end"/>
      </w:r>
    </w:p>
    <w:p w14:paraId="041E2DDC" w14:textId="77777777" w:rsidR="00CB0864" w:rsidRDefault="00CB0864">
      <w:pPr>
        <w:pStyle w:val="TOC2"/>
        <w:rPr>
          <w:rFonts w:asciiTheme="minorHAnsi" w:eastAsiaTheme="minorEastAsia" w:hAnsiTheme="minorHAnsi" w:cstheme="minorBidi"/>
          <w:noProof/>
          <w:szCs w:val="22"/>
          <w:lang w:eastAsia="en-NZ"/>
        </w:rPr>
      </w:pPr>
      <w:r>
        <w:rPr>
          <w:noProof/>
        </w:rPr>
        <w:t>1.2.3</w:t>
      </w:r>
      <w:r>
        <w:rPr>
          <w:rFonts w:asciiTheme="minorHAnsi" w:eastAsiaTheme="minorEastAsia" w:hAnsiTheme="minorHAnsi" w:cstheme="minorBidi"/>
          <w:noProof/>
          <w:szCs w:val="22"/>
          <w:lang w:eastAsia="en-NZ"/>
        </w:rPr>
        <w:tab/>
      </w:r>
      <w:r>
        <w:rPr>
          <w:noProof/>
        </w:rPr>
        <w:t>Planned milestones</w:t>
      </w:r>
      <w:r>
        <w:rPr>
          <w:noProof/>
        </w:rPr>
        <w:tab/>
      </w:r>
      <w:r>
        <w:rPr>
          <w:noProof/>
        </w:rPr>
        <w:fldChar w:fldCharType="begin"/>
      </w:r>
      <w:r>
        <w:rPr>
          <w:noProof/>
        </w:rPr>
        <w:instrText xml:space="preserve"> PAGEREF _Toc8979308 \h </w:instrText>
      </w:r>
      <w:r>
        <w:rPr>
          <w:noProof/>
        </w:rPr>
      </w:r>
      <w:r>
        <w:rPr>
          <w:noProof/>
        </w:rPr>
        <w:fldChar w:fldCharType="separate"/>
      </w:r>
      <w:r w:rsidR="00BC7B71">
        <w:rPr>
          <w:noProof/>
        </w:rPr>
        <w:t>19</w:t>
      </w:r>
      <w:r>
        <w:rPr>
          <w:noProof/>
        </w:rPr>
        <w:fldChar w:fldCharType="end"/>
      </w:r>
    </w:p>
    <w:p w14:paraId="041E2DDD" w14:textId="77777777" w:rsidR="00CB0864" w:rsidRDefault="00CB0864">
      <w:pPr>
        <w:pStyle w:val="TOC2"/>
        <w:rPr>
          <w:rFonts w:asciiTheme="minorHAnsi" w:eastAsiaTheme="minorEastAsia" w:hAnsiTheme="minorHAnsi" w:cstheme="minorBidi"/>
          <w:noProof/>
          <w:szCs w:val="22"/>
          <w:lang w:eastAsia="en-NZ"/>
        </w:rPr>
      </w:pPr>
      <w:r>
        <w:rPr>
          <w:noProof/>
        </w:rPr>
        <w:t>1.2.4</w:t>
      </w:r>
      <w:r>
        <w:rPr>
          <w:rFonts w:asciiTheme="minorHAnsi" w:eastAsiaTheme="minorEastAsia" w:hAnsiTheme="minorHAnsi" w:cstheme="minorBidi"/>
          <w:noProof/>
          <w:szCs w:val="22"/>
          <w:lang w:eastAsia="en-NZ"/>
        </w:rPr>
        <w:tab/>
      </w:r>
      <w:r>
        <w:rPr>
          <w:noProof/>
        </w:rPr>
        <w:t>Desired outcomes</w:t>
      </w:r>
      <w:r>
        <w:rPr>
          <w:noProof/>
        </w:rPr>
        <w:tab/>
      </w:r>
      <w:r>
        <w:rPr>
          <w:noProof/>
        </w:rPr>
        <w:fldChar w:fldCharType="begin"/>
      </w:r>
      <w:r>
        <w:rPr>
          <w:noProof/>
        </w:rPr>
        <w:instrText xml:space="preserve"> PAGEREF _Toc8979309 \h </w:instrText>
      </w:r>
      <w:r>
        <w:rPr>
          <w:noProof/>
        </w:rPr>
      </w:r>
      <w:r>
        <w:rPr>
          <w:noProof/>
        </w:rPr>
        <w:fldChar w:fldCharType="separate"/>
      </w:r>
      <w:r w:rsidR="00BC7B71">
        <w:rPr>
          <w:noProof/>
        </w:rPr>
        <w:t>20</w:t>
      </w:r>
      <w:r>
        <w:rPr>
          <w:noProof/>
        </w:rPr>
        <w:fldChar w:fldCharType="end"/>
      </w:r>
    </w:p>
    <w:p w14:paraId="041E2DDE" w14:textId="77777777" w:rsidR="00CB0864" w:rsidRDefault="00CB0864">
      <w:pPr>
        <w:pStyle w:val="TOC2"/>
        <w:rPr>
          <w:rFonts w:asciiTheme="minorHAnsi" w:eastAsiaTheme="minorEastAsia" w:hAnsiTheme="minorHAnsi" w:cstheme="minorBidi"/>
          <w:noProof/>
          <w:szCs w:val="22"/>
          <w:lang w:eastAsia="en-NZ"/>
        </w:rPr>
      </w:pPr>
      <w:r>
        <w:rPr>
          <w:noProof/>
        </w:rPr>
        <w:t>1.2.5</w:t>
      </w:r>
      <w:r>
        <w:rPr>
          <w:rFonts w:asciiTheme="minorHAnsi" w:eastAsiaTheme="minorEastAsia" w:hAnsiTheme="minorHAnsi" w:cstheme="minorBidi"/>
          <w:noProof/>
          <w:szCs w:val="22"/>
          <w:lang w:eastAsia="en-NZ"/>
        </w:rPr>
        <w:tab/>
      </w:r>
      <w:r>
        <w:rPr>
          <w:noProof/>
        </w:rPr>
        <w:t>Promotion of awareness of public health issues related to drinking-water</w:t>
      </w:r>
      <w:r>
        <w:rPr>
          <w:noProof/>
        </w:rPr>
        <w:tab/>
      </w:r>
      <w:r>
        <w:rPr>
          <w:noProof/>
        </w:rPr>
        <w:fldChar w:fldCharType="begin"/>
      </w:r>
      <w:r>
        <w:rPr>
          <w:noProof/>
        </w:rPr>
        <w:instrText xml:space="preserve"> PAGEREF _Toc8979310 \h </w:instrText>
      </w:r>
      <w:r>
        <w:rPr>
          <w:noProof/>
        </w:rPr>
      </w:r>
      <w:r>
        <w:rPr>
          <w:noProof/>
        </w:rPr>
        <w:fldChar w:fldCharType="separate"/>
      </w:r>
      <w:r w:rsidR="00BC7B71">
        <w:rPr>
          <w:noProof/>
        </w:rPr>
        <w:t>20</w:t>
      </w:r>
      <w:r>
        <w:rPr>
          <w:noProof/>
        </w:rPr>
        <w:fldChar w:fldCharType="end"/>
      </w:r>
    </w:p>
    <w:p w14:paraId="041E2DDF" w14:textId="77777777" w:rsidR="00CB0864" w:rsidRDefault="00CB0864">
      <w:pPr>
        <w:pStyle w:val="TOC2"/>
        <w:rPr>
          <w:rFonts w:asciiTheme="minorHAnsi" w:eastAsiaTheme="minorEastAsia" w:hAnsiTheme="minorHAnsi" w:cstheme="minorBidi"/>
          <w:noProof/>
          <w:szCs w:val="22"/>
          <w:lang w:eastAsia="en-NZ"/>
        </w:rPr>
      </w:pPr>
      <w:r>
        <w:rPr>
          <w:noProof/>
        </w:rPr>
        <w:t>1.2.6</w:t>
      </w:r>
      <w:r>
        <w:rPr>
          <w:rFonts w:asciiTheme="minorHAnsi" w:eastAsiaTheme="minorEastAsia" w:hAnsiTheme="minorHAnsi" w:cstheme="minorBidi"/>
          <w:noProof/>
          <w:szCs w:val="22"/>
          <w:lang w:eastAsia="en-NZ"/>
        </w:rPr>
        <w:tab/>
      </w:r>
      <w:r>
        <w:rPr>
          <w:noProof/>
        </w:rPr>
        <w:t>Outputs achieved by 1995</w:t>
      </w:r>
      <w:r>
        <w:rPr>
          <w:noProof/>
        </w:rPr>
        <w:tab/>
      </w:r>
      <w:r>
        <w:rPr>
          <w:noProof/>
        </w:rPr>
        <w:fldChar w:fldCharType="begin"/>
      </w:r>
      <w:r>
        <w:rPr>
          <w:noProof/>
        </w:rPr>
        <w:instrText xml:space="preserve"> PAGEREF _Toc8979311 \h </w:instrText>
      </w:r>
      <w:r>
        <w:rPr>
          <w:noProof/>
        </w:rPr>
      </w:r>
      <w:r>
        <w:rPr>
          <w:noProof/>
        </w:rPr>
        <w:fldChar w:fldCharType="separate"/>
      </w:r>
      <w:r w:rsidR="00BC7B71">
        <w:rPr>
          <w:noProof/>
        </w:rPr>
        <w:t>20</w:t>
      </w:r>
      <w:r>
        <w:rPr>
          <w:noProof/>
        </w:rPr>
        <w:fldChar w:fldCharType="end"/>
      </w:r>
    </w:p>
    <w:p w14:paraId="041E2DE0" w14:textId="77777777" w:rsidR="00CB0864" w:rsidRDefault="00CB0864">
      <w:pPr>
        <w:pStyle w:val="TOC1"/>
        <w:rPr>
          <w:rFonts w:asciiTheme="minorHAnsi" w:eastAsiaTheme="minorEastAsia" w:hAnsiTheme="minorHAnsi" w:cstheme="minorBidi"/>
          <w:noProof/>
          <w:sz w:val="22"/>
          <w:szCs w:val="22"/>
          <w:lang w:eastAsia="en-NZ"/>
        </w:rPr>
      </w:pPr>
      <w:r>
        <w:rPr>
          <w:noProof/>
        </w:rPr>
        <w:t>1.3</w:t>
      </w:r>
      <w:r>
        <w:rPr>
          <w:rFonts w:asciiTheme="minorHAnsi" w:eastAsiaTheme="minorEastAsia" w:hAnsiTheme="minorHAnsi" w:cstheme="minorBidi"/>
          <w:noProof/>
          <w:sz w:val="22"/>
          <w:szCs w:val="22"/>
          <w:lang w:eastAsia="en-NZ"/>
        </w:rPr>
        <w:tab/>
      </w:r>
      <w:r>
        <w:rPr>
          <w:noProof/>
        </w:rPr>
        <w:t>Strategy development 1995–2000</w:t>
      </w:r>
      <w:r>
        <w:rPr>
          <w:noProof/>
        </w:rPr>
        <w:tab/>
      </w:r>
      <w:r>
        <w:rPr>
          <w:noProof/>
        </w:rPr>
        <w:fldChar w:fldCharType="begin"/>
      </w:r>
      <w:r>
        <w:rPr>
          <w:noProof/>
        </w:rPr>
        <w:instrText xml:space="preserve"> PAGEREF _Toc8979312 \h </w:instrText>
      </w:r>
      <w:r>
        <w:rPr>
          <w:noProof/>
        </w:rPr>
      </w:r>
      <w:r>
        <w:rPr>
          <w:noProof/>
        </w:rPr>
        <w:fldChar w:fldCharType="separate"/>
      </w:r>
      <w:r w:rsidR="00BC7B71">
        <w:rPr>
          <w:noProof/>
        </w:rPr>
        <w:t>21</w:t>
      </w:r>
      <w:r>
        <w:rPr>
          <w:noProof/>
        </w:rPr>
        <w:fldChar w:fldCharType="end"/>
      </w:r>
    </w:p>
    <w:p w14:paraId="041E2DE1" w14:textId="77777777" w:rsidR="00CB0864" w:rsidRDefault="00CB0864">
      <w:pPr>
        <w:pStyle w:val="TOC2"/>
        <w:rPr>
          <w:rFonts w:asciiTheme="minorHAnsi" w:eastAsiaTheme="minorEastAsia" w:hAnsiTheme="minorHAnsi" w:cstheme="minorBidi"/>
          <w:noProof/>
          <w:szCs w:val="22"/>
          <w:lang w:eastAsia="en-NZ"/>
        </w:rPr>
      </w:pPr>
      <w:r>
        <w:rPr>
          <w:noProof/>
        </w:rPr>
        <w:t>1.3.1</w:t>
      </w:r>
      <w:r>
        <w:rPr>
          <w:rFonts w:asciiTheme="minorHAnsi" w:eastAsiaTheme="minorEastAsia" w:hAnsiTheme="minorHAnsi" w:cstheme="minorBidi"/>
          <w:noProof/>
          <w:szCs w:val="22"/>
          <w:lang w:eastAsia="en-NZ"/>
        </w:rPr>
        <w:tab/>
      </w:r>
      <w:r>
        <w:rPr>
          <w:noProof/>
        </w:rPr>
        <w:t>Consultation</w:t>
      </w:r>
      <w:r>
        <w:rPr>
          <w:noProof/>
        </w:rPr>
        <w:tab/>
      </w:r>
      <w:r>
        <w:rPr>
          <w:noProof/>
        </w:rPr>
        <w:fldChar w:fldCharType="begin"/>
      </w:r>
      <w:r>
        <w:rPr>
          <w:noProof/>
        </w:rPr>
        <w:instrText xml:space="preserve"> PAGEREF _Toc8979313 \h </w:instrText>
      </w:r>
      <w:r>
        <w:rPr>
          <w:noProof/>
        </w:rPr>
      </w:r>
      <w:r>
        <w:rPr>
          <w:noProof/>
        </w:rPr>
        <w:fldChar w:fldCharType="separate"/>
      </w:r>
      <w:r w:rsidR="00BC7B71">
        <w:rPr>
          <w:noProof/>
        </w:rPr>
        <w:t>21</w:t>
      </w:r>
      <w:r>
        <w:rPr>
          <w:noProof/>
        </w:rPr>
        <w:fldChar w:fldCharType="end"/>
      </w:r>
    </w:p>
    <w:p w14:paraId="041E2DE2" w14:textId="77777777" w:rsidR="00CB0864" w:rsidRDefault="00CB0864">
      <w:pPr>
        <w:pStyle w:val="TOC2"/>
        <w:rPr>
          <w:rFonts w:asciiTheme="minorHAnsi" w:eastAsiaTheme="minorEastAsia" w:hAnsiTheme="minorHAnsi" w:cstheme="minorBidi"/>
          <w:noProof/>
          <w:szCs w:val="22"/>
          <w:lang w:eastAsia="en-NZ"/>
        </w:rPr>
      </w:pPr>
      <w:r>
        <w:rPr>
          <w:noProof/>
        </w:rPr>
        <w:t>1.3.2</w:t>
      </w:r>
      <w:r>
        <w:rPr>
          <w:rFonts w:asciiTheme="minorHAnsi" w:eastAsiaTheme="minorEastAsia" w:hAnsiTheme="minorHAnsi" w:cstheme="minorBidi"/>
          <w:noProof/>
          <w:szCs w:val="22"/>
          <w:lang w:eastAsia="en-NZ"/>
        </w:rPr>
        <w:tab/>
      </w:r>
      <w:r>
        <w:rPr>
          <w:noProof/>
        </w:rPr>
        <w:t>Inclusion of protozoa in the DWSNZ</w:t>
      </w:r>
      <w:r>
        <w:rPr>
          <w:noProof/>
        </w:rPr>
        <w:tab/>
      </w:r>
      <w:r>
        <w:rPr>
          <w:noProof/>
        </w:rPr>
        <w:fldChar w:fldCharType="begin"/>
      </w:r>
      <w:r>
        <w:rPr>
          <w:noProof/>
        </w:rPr>
        <w:instrText xml:space="preserve"> PAGEREF _Toc8979314 \h </w:instrText>
      </w:r>
      <w:r>
        <w:rPr>
          <w:noProof/>
        </w:rPr>
      </w:r>
      <w:r>
        <w:rPr>
          <w:noProof/>
        </w:rPr>
        <w:fldChar w:fldCharType="separate"/>
      </w:r>
      <w:r w:rsidR="00BC7B71">
        <w:rPr>
          <w:noProof/>
        </w:rPr>
        <w:t>22</w:t>
      </w:r>
      <w:r>
        <w:rPr>
          <w:noProof/>
        </w:rPr>
        <w:fldChar w:fldCharType="end"/>
      </w:r>
    </w:p>
    <w:p w14:paraId="041E2DE3" w14:textId="77777777" w:rsidR="00CB0864" w:rsidRDefault="00CB0864">
      <w:pPr>
        <w:pStyle w:val="TOC2"/>
        <w:rPr>
          <w:rFonts w:asciiTheme="minorHAnsi" w:eastAsiaTheme="minorEastAsia" w:hAnsiTheme="minorHAnsi" w:cstheme="minorBidi"/>
          <w:noProof/>
          <w:szCs w:val="22"/>
          <w:lang w:eastAsia="en-NZ"/>
        </w:rPr>
      </w:pPr>
      <w:r>
        <w:rPr>
          <w:noProof/>
        </w:rPr>
        <w:t>1.3.3</w:t>
      </w:r>
      <w:r>
        <w:rPr>
          <w:rFonts w:asciiTheme="minorHAnsi" w:eastAsiaTheme="minorEastAsia" w:hAnsiTheme="minorHAnsi" w:cstheme="minorBidi"/>
          <w:noProof/>
          <w:szCs w:val="22"/>
          <w:lang w:eastAsia="en-NZ"/>
        </w:rPr>
        <w:tab/>
      </w:r>
      <w:r>
        <w:rPr>
          <w:noProof/>
        </w:rPr>
        <w:t>Human resource development</w:t>
      </w:r>
      <w:r>
        <w:rPr>
          <w:noProof/>
        </w:rPr>
        <w:tab/>
      </w:r>
      <w:r>
        <w:rPr>
          <w:noProof/>
        </w:rPr>
        <w:fldChar w:fldCharType="begin"/>
      </w:r>
      <w:r>
        <w:rPr>
          <w:noProof/>
        </w:rPr>
        <w:instrText xml:space="preserve"> PAGEREF _Toc8979315 \h </w:instrText>
      </w:r>
      <w:r>
        <w:rPr>
          <w:noProof/>
        </w:rPr>
      </w:r>
      <w:r>
        <w:rPr>
          <w:noProof/>
        </w:rPr>
        <w:fldChar w:fldCharType="separate"/>
      </w:r>
      <w:r w:rsidR="00BC7B71">
        <w:rPr>
          <w:noProof/>
        </w:rPr>
        <w:t>22</w:t>
      </w:r>
      <w:r>
        <w:rPr>
          <w:noProof/>
        </w:rPr>
        <w:fldChar w:fldCharType="end"/>
      </w:r>
    </w:p>
    <w:p w14:paraId="041E2DE4" w14:textId="77777777" w:rsidR="00CB0864" w:rsidRDefault="00CB0864">
      <w:pPr>
        <w:pStyle w:val="TOC2"/>
        <w:rPr>
          <w:rFonts w:asciiTheme="minorHAnsi" w:eastAsiaTheme="minorEastAsia" w:hAnsiTheme="minorHAnsi" w:cstheme="minorBidi"/>
          <w:noProof/>
          <w:szCs w:val="22"/>
          <w:lang w:eastAsia="en-NZ"/>
        </w:rPr>
      </w:pPr>
      <w:r>
        <w:rPr>
          <w:noProof/>
        </w:rPr>
        <w:t>1.3.4</w:t>
      </w:r>
      <w:r>
        <w:rPr>
          <w:rFonts w:asciiTheme="minorHAnsi" w:eastAsiaTheme="minorEastAsia" w:hAnsiTheme="minorHAnsi" w:cstheme="minorBidi"/>
          <w:noProof/>
          <w:szCs w:val="22"/>
          <w:lang w:eastAsia="en-NZ"/>
        </w:rPr>
        <w:tab/>
      </w:r>
      <w:r>
        <w:rPr>
          <w:noProof/>
        </w:rPr>
        <w:t>DWSNZ 2000</w:t>
      </w:r>
      <w:r>
        <w:rPr>
          <w:noProof/>
        </w:rPr>
        <w:tab/>
      </w:r>
      <w:r>
        <w:rPr>
          <w:noProof/>
        </w:rPr>
        <w:fldChar w:fldCharType="begin"/>
      </w:r>
      <w:r>
        <w:rPr>
          <w:noProof/>
        </w:rPr>
        <w:instrText xml:space="preserve"> PAGEREF _Toc8979316 \h </w:instrText>
      </w:r>
      <w:r>
        <w:rPr>
          <w:noProof/>
        </w:rPr>
      </w:r>
      <w:r>
        <w:rPr>
          <w:noProof/>
        </w:rPr>
        <w:fldChar w:fldCharType="separate"/>
      </w:r>
      <w:r w:rsidR="00BC7B71">
        <w:rPr>
          <w:noProof/>
        </w:rPr>
        <w:t>22</w:t>
      </w:r>
      <w:r>
        <w:rPr>
          <w:noProof/>
        </w:rPr>
        <w:fldChar w:fldCharType="end"/>
      </w:r>
    </w:p>
    <w:p w14:paraId="041E2DE5" w14:textId="77777777" w:rsidR="00CB0864" w:rsidRDefault="00CB0864">
      <w:pPr>
        <w:pStyle w:val="TOC1"/>
        <w:rPr>
          <w:rFonts w:asciiTheme="minorHAnsi" w:eastAsiaTheme="minorEastAsia" w:hAnsiTheme="minorHAnsi" w:cstheme="minorBidi"/>
          <w:noProof/>
          <w:sz w:val="22"/>
          <w:szCs w:val="22"/>
          <w:lang w:eastAsia="en-NZ"/>
        </w:rPr>
      </w:pPr>
      <w:r>
        <w:rPr>
          <w:noProof/>
        </w:rPr>
        <w:t>1.4</w:t>
      </w:r>
      <w:r>
        <w:rPr>
          <w:rFonts w:asciiTheme="minorHAnsi" w:eastAsiaTheme="minorEastAsia" w:hAnsiTheme="minorHAnsi" w:cstheme="minorBidi"/>
          <w:noProof/>
          <w:sz w:val="22"/>
          <w:szCs w:val="22"/>
          <w:lang w:eastAsia="en-NZ"/>
        </w:rPr>
        <w:tab/>
      </w:r>
      <w:r>
        <w:rPr>
          <w:noProof/>
        </w:rPr>
        <w:t>Strategy development 2000–2005</w:t>
      </w:r>
      <w:r>
        <w:rPr>
          <w:noProof/>
        </w:rPr>
        <w:tab/>
      </w:r>
      <w:r>
        <w:rPr>
          <w:noProof/>
        </w:rPr>
        <w:fldChar w:fldCharType="begin"/>
      </w:r>
      <w:r>
        <w:rPr>
          <w:noProof/>
        </w:rPr>
        <w:instrText xml:space="preserve"> PAGEREF _Toc8979317 \h </w:instrText>
      </w:r>
      <w:r>
        <w:rPr>
          <w:noProof/>
        </w:rPr>
      </w:r>
      <w:r>
        <w:rPr>
          <w:noProof/>
        </w:rPr>
        <w:fldChar w:fldCharType="separate"/>
      </w:r>
      <w:r w:rsidR="00BC7B71">
        <w:rPr>
          <w:noProof/>
        </w:rPr>
        <w:t>23</w:t>
      </w:r>
      <w:r>
        <w:rPr>
          <w:noProof/>
        </w:rPr>
        <w:fldChar w:fldCharType="end"/>
      </w:r>
    </w:p>
    <w:p w14:paraId="041E2DE6" w14:textId="77777777" w:rsidR="00CB0864" w:rsidRDefault="00CB0864">
      <w:pPr>
        <w:pStyle w:val="TOC2"/>
        <w:rPr>
          <w:rFonts w:asciiTheme="minorHAnsi" w:eastAsiaTheme="minorEastAsia" w:hAnsiTheme="minorHAnsi" w:cstheme="minorBidi"/>
          <w:noProof/>
          <w:szCs w:val="22"/>
          <w:lang w:eastAsia="en-NZ"/>
        </w:rPr>
      </w:pPr>
      <w:r>
        <w:rPr>
          <w:noProof/>
        </w:rPr>
        <w:t>1.4.1</w:t>
      </w:r>
      <w:r>
        <w:rPr>
          <w:rFonts w:asciiTheme="minorHAnsi" w:eastAsiaTheme="minorEastAsia" w:hAnsiTheme="minorHAnsi" w:cstheme="minorBidi"/>
          <w:noProof/>
          <w:szCs w:val="22"/>
          <w:lang w:eastAsia="en-NZ"/>
        </w:rPr>
        <w:tab/>
      </w:r>
      <w:r>
        <w:rPr>
          <w:noProof/>
        </w:rPr>
        <w:t>Consultation</w:t>
      </w:r>
      <w:r>
        <w:rPr>
          <w:noProof/>
        </w:rPr>
        <w:tab/>
      </w:r>
      <w:r>
        <w:rPr>
          <w:noProof/>
        </w:rPr>
        <w:fldChar w:fldCharType="begin"/>
      </w:r>
      <w:r>
        <w:rPr>
          <w:noProof/>
        </w:rPr>
        <w:instrText xml:space="preserve"> PAGEREF _Toc8979318 \h </w:instrText>
      </w:r>
      <w:r>
        <w:rPr>
          <w:noProof/>
        </w:rPr>
      </w:r>
      <w:r>
        <w:rPr>
          <w:noProof/>
        </w:rPr>
        <w:fldChar w:fldCharType="separate"/>
      </w:r>
      <w:r w:rsidR="00BC7B71">
        <w:rPr>
          <w:noProof/>
        </w:rPr>
        <w:t>23</w:t>
      </w:r>
      <w:r>
        <w:rPr>
          <w:noProof/>
        </w:rPr>
        <w:fldChar w:fldCharType="end"/>
      </w:r>
    </w:p>
    <w:p w14:paraId="041E2DE7" w14:textId="77777777" w:rsidR="00CB0864" w:rsidRDefault="00CB0864">
      <w:pPr>
        <w:pStyle w:val="TOC2"/>
        <w:rPr>
          <w:rFonts w:asciiTheme="minorHAnsi" w:eastAsiaTheme="minorEastAsia" w:hAnsiTheme="minorHAnsi" w:cstheme="minorBidi"/>
          <w:noProof/>
          <w:szCs w:val="22"/>
          <w:lang w:eastAsia="en-NZ"/>
        </w:rPr>
      </w:pPr>
      <w:r>
        <w:rPr>
          <w:noProof/>
        </w:rPr>
        <w:t>1.4.2</w:t>
      </w:r>
      <w:r>
        <w:rPr>
          <w:rFonts w:asciiTheme="minorHAnsi" w:eastAsiaTheme="minorEastAsia" w:hAnsiTheme="minorHAnsi" w:cstheme="minorBidi"/>
          <w:noProof/>
          <w:szCs w:val="22"/>
          <w:lang w:eastAsia="en-NZ"/>
        </w:rPr>
        <w:tab/>
      </w:r>
      <w:r>
        <w:rPr>
          <w:noProof/>
        </w:rPr>
        <w:t>Water safety plans</w:t>
      </w:r>
      <w:r>
        <w:rPr>
          <w:noProof/>
        </w:rPr>
        <w:tab/>
      </w:r>
      <w:r>
        <w:rPr>
          <w:noProof/>
        </w:rPr>
        <w:fldChar w:fldCharType="begin"/>
      </w:r>
      <w:r>
        <w:rPr>
          <w:noProof/>
        </w:rPr>
        <w:instrText xml:space="preserve"> PAGEREF _Toc8979319 \h </w:instrText>
      </w:r>
      <w:r>
        <w:rPr>
          <w:noProof/>
        </w:rPr>
      </w:r>
      <w:r>
        <w:rPr>
          <w:noProof/>
        </w:rPr>
        <w:fldChar w:fldCharType="separate"/>
      </w:r>
      <w:r w:rsidR="00BC7B71">
        <w:rPr>
          <w:noProof/>
        </w:rPr>
        <w:t>23</w:t>
      </w:r>
      <w:r>
        <w:rPr>
          <w:noProof/>
        </w:rPr>
        <w:fldChar w:fldCharType="end"/>
      </w:r>
    </w:p>
    <w:p w14:paraId="041E2DE8" w14:textId="77777777" w:rsidR="00CB0864" w:rsidRDefault="00CB0864">
      <w:pPr>
        <w:pStyle w:val="TOC2"/>
        <w:rPr>
          <w:rFonts w:asciiTheme="minorHAnsi" w:eastAsiaTheme="minorEastAsia" w:hAnsiTheme="minorHAnsi" w:cstheme="minorBidi"/>
          <w:noProof/>
          <w:szCs w:val="22"/>
          <w:lang w:eastAsia="en-NZ"/>
        </w:rPr>
      </w:pPr>
      <w:r>
        <w:rPr>
          <w:noProof/>
        </w:rPr>
        <w:t>1.4.3</w:t>
      </w:r>
      <w:r>
        <w:rPr>
          <w:rFonts w:asciiTheme="minorHAnsi" w:eastAsiaTheme="minorEastAsia" w:hAnsiTheme="minorHAnsi" w:cstheme="minorBidi"/>
          <w:noProof/>
          <w:szCs w:val="22"/>
          <w:lang w:eastAsia="en-NZ"/>
        </w:rPr>
        <w:tab/>
      </w:r>
      <w:r>
        <w:rPr>
          <w:noProof/>
        </w:rPr>
        <w:t>Legislative development</w:t>
      </w:r>
      <w:r>
        <w:rPr>
          <w:noProof/>
        </w:rPr>
        <w:tab/>
      </w:r>
      <w:r>
        <w:rPr>
          <w:noProof/>
        </w:rPr>
        <w:fldChar w:fldCharType="begin"/>
      </w:r>
      <w:r>
        <w:rPr>
          <w:noProof/>
        </w:rPr>
        <w:instrText xml:space="preserve"> PAGEREF _Toc8979320 \h </w:instrText>
      </w:r>
      <w:r>
        <w:rPr>
          <w:noProof/>
        </w:rPr>
      </w:r>
      <w:r>
        <w:rPr>
          <w:noProof/>
        </w:rPr>
        <w:fldChar w:fldCharType="separate"/>
      </w:r>
      <w:r w:rsidR="00BC7B71">
        <w:rPr>
          <w:noProof/>
        </w:rPr>
        <w:t>24</w:t>
      </w:r>
      <w:r>
        <w:rPr>
          <w:noProof/>
        </w:rPr>
        <w:fldChar w:fldCharType="end"/>
      </w:r>
    </w:p>
    <w:p w14:paraId="041E2DE9" w14:textId="77777777" w:rsidR="00CB0864" w:rsidRDefault="00CB0864">
      <w:pPr>
        <w:pStyle w:val="TOC2"/>
        <w:rPr>
          <w:rFonts w:asciiTheme="minorHAnsi" w:eastAsiaTheme="minorEastAsia" w:hAnsiTheme="minorHAnsi" w:cstheme="minorBidi"/>
          <w:noProof/>
          <w:szCs w:val="22"/>
          <w:lang w:eastAsia="en-NZ"/>
        </w:rPr>
      </w:pPr>
      <w:r>
        <w:rPr>
          <w:noProof/>
        </w:rPr>
        <w:t>1.4.4</w:t>
      </w:r>
      <w:r>
        <w:rPr>
          <w:rFonts w:asciiTheme="minorHAnsi" w:eastAsiaTheme="minorEastAsia" w:hAnsiTheme="minorHAnsi" w:cstheme="minorBidi"/>
          <w:noProof/>
          <w:szCs w:val="22"/>
          <w:lang w:eastAsia="en-NZ"/>
        </w:rPr>
        <w:tab/>
      </w:r>
      <w:r>
        <w:rPr>
          <w:noProof/>
        </w:rPr>
        <w:t>Development of the DWSNZ 2005</w:t>
      </w:r>
      <w:r>
        <w:rPr>
          <w:noProof/>
        </w:rPr>
        <w:tab/>
      </w:r>
      <w:r>
        <w:rPr>
          <w:noProof/>
        </w:rPr>
        <w:fldChar w:fldCharType="begin"/>
      </w:r>
      <w:r>
        <w:rPr>
          <w:noProof/>
        </w:rPr>
        <w:instrText xml:space="preserve"> PAGEREF _Toc8979321 \h </w:instrText>
      </w:r>
      <w:r>
        <w:rPr>
          <w:noProof/>
        </w:rPr>
      </w:r>
      <w:r>
        <w:rPr>
          <w:noProof/>
        </w:rPr>
        <w:fldChar w:fldCharType="separate"/>
      </w:r>
      <w:r w:rsidR="00BC7B71">
        <w:rPr>
          <w:noProof/>
        </w:rPr>
        <w:t>25</w:t>
      </w:r>
      <w:r>
        <w:rPr>
          <w:noProof/>
        </w:rPr>
        <w:fldChar w:fldCharType="end"/>
      </w:r>
    </w:p>
    <w:p w14:paraId="041E2DEA" w14:textId="77777777" w:rsidR="00CB0864" w:rsidRDefault="00CB0864">
      <w:pPr>
        <w:pStyle w:val="TOC2"/>
        <w:rPr>
          <w:rFonts w:asciiTheme="minorHAnsi" w:eastAsiaTheme="minorEastAsia" w:hAnsiTheme="minorHAnsi" w:cstheme="minorBidi"/>
          <w:noProof/>
          <w:szCs w:val="22"/>
          <w:lang w:eastAsia="en-NZ"/>
        </w:rPr>
      </w:pPr>
      <w:r>
        <w:rPr>
          <w:noProof/>
        </w:rPr>
        <w:t>1.4.5</w:t>
      </w:r>
      <w:r>
        <w:rPr>
          <w:rFonts w:asciiTheme="minorHAnsi" w:eastAsiaTheme="minorEastAsia" w:hAnsiTheme="minorHAnsi" w:cstheme="minorBidi"/>
          <w:noProof/>
          <w:szCs w:val="22"/>
          <w:lang w:eastAsia="en-NZ"/>
        </w:rPr>
        <w:tab/>
      </w:r>
      <w:r>
        <w:rPr>
          <w:noProof/>
        </w:rPr>
        <w:t>Development of the drinking-water assistance programme</w:t>
      </w:r>
      <w:r>
        <w:rPr>
          <w:noProof/>
        </w:rPr>
        <w:tab/>
      </w:r>
      <w:r>
        <w:rPr>
          <w:noProof/>
        </w:rPr>
        <w:fldChar w:fldCharType="begin"/>
      </w:r>
      <w:r>
        <w:rPr>
          <w:noProof/>
        </w:rPr>
        <w:instrText xml:space="preserve"> PAGEREF _Toc8979322 \h </w:instrText>
      </w:r>
      <w:r>
        <w:rPr>
          <w:noProof/>
        </w:rPr>
      </w:r>
      <w:r>
        <w:rPr>
          <w:noProof/>
        </w:rPr>
        <w:fldChar w:fldCharType="separate"/>
      </w:r>
      <w:r w:rsidR="00BC7B71">
        <w:rPr>
          <w:noProof/>
        </w:rPr>
        <w:t>27</w:t>
      </w:r>
      <w:r>
        <w:rPr>
          <w:noProof/>
        </w:rPr>
        <w:fldChar w:fldCharType="end"/>
      </w:r>
    </w:p>
    <w:p w14:paraId="041E2DEB" w14:textId="77777777" w:rsidR="00CB0864" w:rsidRDefault="00CB0864">
      <w:pPr>
        <w:pStyle w:val="TOC1"/>
        <w:rPr>
          <w:rFonts w:asciiTheme="minorHAnsi" w:eastAsiaTheme="minorEastAsia" w:hAnsiTheme="minorHAnsi" w:cstheme="minorBidi"/>
          <w:noProof/>
          <w:sz w:val="22"/>
          <w:szCs w:val="22"/>
          <w:lang w:eastAsia="en-NZ"/>
        </w:rPr>
      </w:pPr>
      <w:r>
        <w:rPr>
          <w:noProof/>
        </w:rPr>
        <w:t>1.5</w:t>
      </w:r>
      <w:r>
        <w:rPr>
          <w:rFonts w:asciiTheme="minorHAnsi" w:eastAsiaTheme="minorEastAsia" w:hAnsiTheme="minorHAnsi" w:cstheme="minorBidi"/>
          <w:noProof/>
          <w:sz w:val="22"/>
          <w:szCs w:val="22"/>
          <w:lang w:eastAsia="en-NZ"/>
        </w:rPr>
        <w:tab/>
      </w:r>
      <w:r>
        <w:rPr>
          <w:noProof/>
        </w:rPr>
        <w:t>Operational development of the drinking-water management programme 2005–2009</w:t>
      </w:r>
      <w:r>
        <w:rPr>
          <w:noProof/>
        </w:rPr>
        <w:tab/>
      </w:r>
      <w:r>
        <w:rPr>
          <w:noProof/>
        </w:rPr>
        <w:fldChar w:fldCharType="begin"/>
      </w:r>
      <w:r>
        <w:rPr>
          <w:noProof/>
        </w:rPr>
        <w:instrText xml:space="preserve"> PAGEREF _Toc8979323 \h </w:instrText>
      </w:r>
      <w:r>
        <w:rPr>
          <w:noProof/>
        </w:rPr>
      </w:r>
      <w:r>
        <w:rPr>
          <w:noProof/>
        </w:rPr>
        <w:fldChar w:fldCharType="separate"/>
      </w:r>
      <w:r w:rsidR="00BC7B71">
        <w:rPr>
          <w:noProof/>
        </w:rPr>
        <w:t>28</w:t>
      </w:r>
      <w:r>
        <w:rPr>
          <w:noProof/>
        </w:rPr>
        <w:fldChar w:fldCharType="end"/>
      </w:r>
    </w:p>
    <w:p w14:paraId="041E2DEC" w14:textId="77777777" w:rsidR="00CB0864" w:rsidRDefault="00CB0864">
      <w:pPr>
        <w:pStyle w:val="TOC2"/>
        <w:rPr>
          <w:rFonts w:asciiTheme="minorHAnsi" w:eastAsiaTheme="minorEastAsia" w:hAnsiTheme="minorHAnsi" w:cstheme="minorBidi"/>
          <w:noProof/>
          <w:szCs w:val="22"/>
          <w:lang w:eastAsia="en-NZ"/>
        </w:rPr>
      </w:pPr>
      <w:r>
        <w:rPr>
          <w:noProof/>
        </w:rPr>
        <w:t>1.5.1</w:t>
      </w:r>
      <w:r>
        <w:rPr>
          <w:rFonts w:asciiTheme="minorHAnsi" w:eastAsiaTheme="minorEastAsia" w:hAnsiTheme="minorHAnsi" w:cstheme="minorBidi"/>
          <w:noProof/>
          <w:szCs w:val="22"/>
          <w:lang w:eastAsia="en-NZ"/>
        </w:rPr>
        <w:tab/>
      </w:r>
      <w:r>
        <w:rPr>
          <w:noProof/>
        </w:rPr>
        <w:t>The Drinking-water Assistance Programme, DWAP</w:t>
      </w:r>
      <w:r>
        <w:rPr>
          <w:noProof/>
        </w:rPr>
        <w:tab/>
      </w:r>
      <w:r>
        <w:rPr>
          <w:noProof/>
        </w:rPr>
        <w:fldChar w:fldCharType="begin"/>
      </w:r>
      <w:r>
        <w:rPr>
          <w:noProof/>
        </w:rPr>
        <w:instrText xml:space="preserve"> PAGEREF _Toc8979324 \h </w:instrText>
      </w:r>
      <w:r>
        <w:rPr>
          <w:noProof/>
        </w:rPr>
      </w:r>
      <w:r>
        <w:rPr>
          <w:noProof/>
        </w:rPr>
        <w:fldChar w:fldCharType="separate"/>
      </w:r>
      <w:r w:rsidR="00BC7B71">
        <w:rPr>
          <w:noProof/>
        </w:rPr>
        <w:t>28</w:t>
      </w:r>
      <w:r>
        <w:rPr>
          <w:noProof/>
        </w:rPr>
        <w:fldChar w:fldCharType="end"/>
      </w:r>
    </w:p>
    <w:p w14:paraId="041E2DED" w14:textId="77777777" w:rsidR="00CB0864" w:rsidRDefault="00CB0864">
      <w:pPr>
        <w:pStyle w:val="TOC2"/>
        <w:rPr>
          <w:rFonts w:asciiTheme="minorHAnsi" w:eastAsiaTheme="minorEastAsia" w:hAnsiTheme="minorHAnsi" w:cstheme="minorBidi"/>
          <w:noProof/>
          <w:szCs w:val="22"/>
          <w:lang w:eastAsia="en-NZ"/>
        </w:rPr>
      </w:pPr>
      <w:r>
        <w:rPr>
          <w:noProof/>
        </w:rPr>
        <w:t>1.5.2</w:t>
      </w:r>
      <w:r>
        <w:rPr>
          <w:rFonts w:asciiTheme="minorHAnsi" w:eastAsiaTheme="minorEastAsia" w:hAnsiTheme="minorHAnsi" w:cstheme="minorBidi"/>
          <w:noProof/>
          <w:szCs w:val="22"/>
          <w:lang w:eastAsia="en-NZ"/>
        </w:rPr>
        <w:tab/>
      </w:r>
      <w:r>
        <w:rPr>
          <w:noProof/>
        </w:rPr>
        <w:t>Legislation: The Health (Drinking Water) Amendment Act 2007 (Part 2a of the Health Act 1956 – the Act)</w:t>
      </w:r>
      <w:r>
        <w:rPr>
          <w:noProof/>
        </w:rPr>
        <w:tab/>
      </w:r>
      <w:r>
        <w:rPr>
          <w:noProof/>
        </w:rPr>
        <w:fldChar w:fldCharType="begin"/>
      </w:r>
      <w:r>
        <w:rPr>
          <w:noProof/>
        </w:rPr>
        <w:instrText xml:space="preserve"> PAGEREF _Toc8979325 \h </w:instrText>
      </w:r>
      <w:r>
        <w:rPr>
          <w:noProof/>
        </w:rPr>
      </w:r>
      <w:r>
        <w:rPr>
          <w:noProof/>
        </w:rPr>
        <w:fldChar w:fldCharType="separate"/>
      </w:r>
      <w:r w:rsidR="00BC7B71">
        <w:rPr>
          <w:noProof/>
        </w:rPr>
        <w:t>29</w:t>
      </w:r>
      <w:r>
        <w:rPr>
          <w:noProof/>
        </w:rPr>
        <w:fldChar w:fldCharType="end"/>
      </w:r>
    </w:p>
    <w:p w14:paraId="041E2DEE" w14:textId="77777777" w:rsidR="00CB0864" w:rsidRDefault="00CB0864">
      <w:pPr>
        <w:pStyle w:val="TOC2"/>
        <w:rPr>
          <w:rFonts w:asciiTheme="minorHAnsi" w:eastAsiaTheme="minorEastAsia" w:hAnsiTheme="minorHAnsi" w:cstheme="minorBidi"/>
          <w:noProof/>
          <w:szCs w:val="22"/>
          <w:lang w:eastAsia="en-NZ"/>
        </w:rPr>
      </w:pPr>
      <w:r>
        <w:rPr>
          <w:noProof/>
        </w:rPr>
        <w:t>1.5.3</w:t>
      </w:r>
      <w:r>
        <w:rPr>
          <w:rFonts w:asciiTheme="minorHAnsi" w:eastAsiaTheme="minorEastAsia" w:hAnsiTheme="minorHAnsi" w:cstheme="minorBidi"/>
          <w:noProof/>
          <w:szCs w:val="22"/>
          <w:lang w:eastAsia="en-NZ"/>
        </w:rPr>
        <w:tab/>
      </w:r>
      <w:r>
        <w:rPr>
          <w:noProof/>
        </w:rPr>
        <w:t>The 2008 revision of DWSNZ 2005</w:t>
      </w:r>
      <w:r>
        <w:rPr>
          <w:noProof/>
        </w:rPr>
        <w:tab/>
      </w:r>
      <w:r>
        <w:rPr>
          <w:noProof/>
        </w:rPr>
        <w:fldChar w:fldCharType="begin"/>
      </w:r>
      <w:r>
        <w:rPr>
          <w:noProof/>
        </w:rPr>
        <w:instrText xml:space="preserve"> PAGEREF _Toc8979326 \h </w:instrText>
      </w:r>
      <w:r>
        <w:rPr>
          <w:noProof/>
        </w:rPr>
      </w:r>
      <w:r>
        <w:rPr>
          <w:noProof/>
        </w:rPr>
        <w:fldChar w:fldCharType="separate"/>
      </w:r>
      <w:r w:rsidR="00BC7B71">
        <w:rPr>
          <w:noProof/>
        </w:rPr>
        <w:t>30</w:t>
      </w:r>
      <w:r>
        <w:rPr>
          <w:noProof/>
        </w:rPr>
        <w:fldChar w:fldCharType="end"/>
      </w:r>
    </w:p>
    <w:p w14:paraId="041E2DEF" w14:textId="77777777" w:rsidR="00CB0864" w:rsidRDefault="00CB0864">
      <w:pPr>
        <w:pStyle w:val="TOC2"/>
        <w:rPr>
          <w:rFonts w:asciiTheme="minorHAnsi" w:eastAsiaTheme="minorEastAsia" w:hAnsiTheme="minorHAnsi" w:cstheme="minorBidi"/>
          <w:noProof/>
          <w:szCs w:val="22"/>
          <w:lang w:eastAsia="en-NZ"/>
        </w:rPr>
      </w:pPr>
      <w:r>
        <w:rPr>
          <w:noProof/>
        </w:rPr>
        <w:lastRenderedPageBreak/>
        <w:t>1.5.4</w:t>
      </w:r>
      <w:r>
        <w:rPr>
          <w:rFonts w:asciiTheme="minorHAnsi" w:eastAsiaTheme="minorEastAsia" w:hAnsiTheme="minorHAnsi" w:cstheme="minorBidi"/>
          <w:noProof/>
          <w:szCs w:val="22"/>
          <w:lang w:eastAsia="en-NZ"/>
        </w:rPr>
        <w:tab/>
      </w:r>
      <w:r>
        <w:rPr>
          <w:noProof/>
        </w:rPr>
        <w:t>Tankered drinking-water supplies</w:t>
      </w:r>
      <w:r>
        <w:rPr>
          <w:noProof/>
        </w:rPr>
        <w:tab/>
      </w:r>
      <w:r>
        <w:rPr>
          <w:noProof/>
        </w:rPr>
        <w:fldChar w:fldCharType="begin"/>
      </w:r>
      <w:r>
        <w:rPr>
          <w:noProof/>
        </w:rPr>
        <w:instrText xml:space="preserve"> PAGEREF _Toc8979327 \h </w:instrText>
      </w:r>
      <w:r>
        <w:rPr>
          <w:noProof/>
        </w:rPr>
      </w:r>
      <w:r>
        <w:rPr>
          <w:noProof/>
        </w:rPr>
        <w:fldChar w:fldCharType="separate"/>
      </w:r>
      <w:r w:rsidR="00BC7B71">
        <w:rPr>
          <w:noProof/>
        </w:rPr>
        <w:t>30</w:t>
      </w:r>
      <w:r>
        <w:rPr>
          <w:noProof/>
        </w:rPr>
        <w:fldChar w:fldCharType="end"/>
      </w:r>
    </w:p>
    <w:p w14:paraId="041E2DF0" w14:textId="77777777" w:rsidR="00CB0864" w:rsidRDefault="00CB0864">
      <w:pPr>
        <w:pStyle w:val="TOC2"/>
        <w:rPr>
          <w:rFonts w:asciiTheme="minorHAnsi" w:eastAsiaTheme="minorEastAsia" w:hAnsiTheme="minorHAnsi" w:cstheme="minorBidi"/>
          <w:noProof/>
          <w:szCs w:val="22"/>
          <w:lang w:eastAsia="en-NZ"/>
        </w:rPr>
      </w:pPr>
      <w:r>
        <w:rPr>
          <w:noProof/>
        </w:rPr>
        <w:t>1.5.5</w:t>
      </w:r>
      <w:r>
        <w:rPr>
          <w:rFonts w:asciiTheme="minorHAnsi" w:eastAsiaTheme="minorEastAsia" w:hAnsiTheme="minorHAnsi" w:cstheme="minorBidi"/>
          <w:noProof/>
          <w:szCs w:val="22"/>
          <w:lang w:eastAsia="en-NZ"/>
        </w:rPr>
        <w:tab/>
      </w:r>
      <w:r>
        <w:rPr>
          <w:noProof/>
        </w:rPr>
        <w:t>Development of specifications for Rural Agricultural Drinking-water Supplies (RADWS)</w:t>
      </w:r>
      <w:r>
        <w:rPr>
          <w:noProof/>
        </w:rPr>
        <w:tab/>
      </w:r>
      <w:r>
        <w:rPr>
          <w:noProof/>
        </w:rPr>
        <w:fldChar w:fldCharType="begin"/>
      </w:r>
      <w:r>
        <w:rPr>
          <w:noProof/>
        </w:rPr>
        <w:instrText xml:space="preserve"> PAGEREF _Toc8979328 \h </w:instrText>
      </w:r>
      <w:r>
        <w:rPr>
          <w:noProof/>
        </w:rPr>
      </w:r>
      <w:r>
        <w:rPr>
          <w:noProof/>
        </w:rPr>
        <w:fldChar w:fldCharType="separate"/>
      </w:r>
      <w:r w:rsidR="00BC7B71">
        <w:rPr>
          <w:noProof/>
        </w:rPr>
        <w:t>31</w:t>
      </w:r>
      <w:r>
        <w:rPr>
          <w:noProof/>
        </w:rPr>
        <w:fldChar w:fldCharType="end"/>
      </w:r>
    </w:p>
    <w:p w14:paraId="041E2DF1" w14:textId="77777777" w:rsidR="00CB0864" w:rsidRDefault="00CB0864">
      <w:pPr>
        <w:pStyle w:val="TOC2"/>
        <w:rPr>
          <w:rFonts w:asciiTheme="minorHAnsi" w:eastAsiaTheme="minorEastAsia" w:hAnsiTheme="minorHAnsi" w:cstheme="minorBidi"/>
          <w:noProof/>
          <w:szCs w:val="22"/>
          <w:lang w:eastAsia="en-NZ"/>
        </w:rPr>
      </w:pPr>
      <w:r>
        <w:rPr>
          <w:noProof/>
        </w:rPr>
        <w:t>1.5.6</w:t>
      </w:r>
      <w:r>
        <w:rPr>
          <w:rFonts w:asciiTheme="minorHAnsi" w:eastAsiaTheme="minorEastAsia" w:hAnsiTheme="minorHAnsi" w:cstheme="minorBidi"/>
          <w:noProof/>
          <w:szCs w:val="22"/>
          <w:lang w:eastAsia="en-NZ"/>
        </w:rPr>
        <w:tab/>
      </w:r>
      <w:r>
        <w:rPr>
          <w:noProof/>
        </w:rPr>
        <w:t>Point-of-use and point-of-entry drinking-water treatment appliances standards</w:t>
      </w:r>
      <w:r>
        <w:rPr>
          <w:noProof/>
        </w:rPr>
        <w:tab/>
      </w:r>
      <w:r>
        <w:rPr>
          <w:noProof/>
        </w:rPr>
        <w:fldChar w:fldCharType="begin"/>
      </w:r>
      <w:r>
        <w:rPr>
          <w:noProof/>
        </w:rPr>
        <w:instrText xml:space="preserve"> PAGEREF _Toc8979329 \h </w:instrText>
      </w:r>
      <w:r>
        <w:rPr>
          <w:noProof/>
        </w:rPr>
      </w:r>
      <w:r>
        <w:rPr>
          <w:noProof/>
        </w:rPr>
        <w:fldChar w:fldCharType="separate"/>
      </w:r>
      <w:r w:rsidR="00BC7B71">
        <w:rPr>
          <w:noProof/>
        </w:rPr>
        <w:t>31</w:t>
      </w:r>
      <w:r>
        <w:rPr>
          <w:noProof/>
        </w:rPr>
        <w:fldChar w:fldCharType="end"/>
      </w:r>
    </w:p>
    <w:p w14:paraId="041E2DF2" w14:textId="77777777" w:rsidR="00CB0864" w:rsidRDefault="00CB0864">
      <w:pPr>
        <w:pStyle w:val="TOC1"/>
        <w:rPr>
          <w:rFonts w:asciiTheme="minorHAnsi" w:eastAsiaTheme="minorEastAsia" w:hAnsiTheme="minorHAnsi" w:cstheme="minorBidi"/>
          <w:noProof/>
          <w:sz w:val="22"/>
          <w:szCs w:val="22"/>
          <w:lang w:eastAsia="en-NZ"/>
        </w:rPr>
      </w:pPr>
      <w:r>
        <w:rPr>
          <w:noProof/>
        </w:rPr>
        <w:t>1.6</w:t>
      </w:r>
      <w:r>
        <w:rPr>
          <w:rFonts w:asciiTheme="minorHAnsi" w:eastAsiaTheme="minorEastAsia" w:hAnsiTheme="minorHAnsi" w:cstheme="minorBidi"/>
          <w:noProof/>
          <w:sz w:val="22"/>
          <w:szCs w:val="22"/>
          <w:lang w:eastAsia="en-NZ"/>
        </w:rPr>
        <w:tab/>
      </w:r>
      <w:r>
        <w:rPr>
          <w:noProof/>
        </w:rPr>
        <w:t>Tools for promoting potable drinking-water supplies</w:t>
      </w:r>
      <w:r>
        <w:rPr>
          <w:noProof/>
        </w:rPr>
        <w:tab/>
      </w:r>
      <w:r>
        <w:rPr>
          <w:noProof/>
        </w:rPr>
        <w:fldChar w:fldCharType="begin"/>
      </w:r>
      <w:r>
        <w:rPr>
          <w:noProof/>
        </w:rPr>
        <w:instrText xml:space="preserve"> PAGEREF _Toc8979330 \h </w:instrText>
      </w:r>
      <w:r>
        <w:rPr>
          <w:noProof/>
        </w:rPr>
      </w:r>
      <w:r>
        <w:rPr>
          <w:noProof/>
        </w:rPr>
        <w:fldChar w:fldCharType="separate"/>
      </w:r>
      <w:r w:rsidR="00BC7B71">
        <w:rPr>
          <w:noProof/>
        </w:rPr>
        <w:t>32</w:t>
      </w:r>
      <w:r>
        <w:rPr>
          <w:noProof/>
        </w:rPr>
        <w:fldChar w:fldCharType="end"/>
      </w:r>
    </w:p>
    <w:p w14:paraId="041E2DF3" w14:textId="77777777" w:rsidR="00CB0864" w:rsidRDefault="00CB0864">
      <w:pPr>
        <w:pStyle w:val="TOC2"/>
        <w:rPr>
          <w:rFonts w:asciiTheme="minorHAnsi" w:eastAsiaTheme="minorEastAsia" w:hAnsiTheme="minorHAnsi" w:cstheme="minorBidi"/>
          <w:noProof/>
          <w:szCs w:val="22"/>
          <w:lang w:eastAsia="en-NZ"/>
        </w:rPr>
      </w:pPr>
      <w:r>
        <w:rPr>
          <w:noProof/>
        </w:rPr>
        <w:t>1.6.1</w:t>
      </w:r>
      <w:r>
        <w:rPr>
          <w:rFonts w:asciiTheme="minorHAnsi" w:eastAsiaTheme="minorEastAsia" w:hAnsiTheme="minorHAnsi" w:cstheme="minorBidi"/>
          <w:noProof/>
          <w:szCs w:val="22"/>
          <w:lang w:eastAsia="en-NZ"/>
        </w:rPr>
        <w:tab/>
      </w:r>
      <w:r>
        <w:rPr>
          <w:noProof/>
        </w:rPr>
        <w:t>Introduction</w:t>
      </w:r>
      <w:r>
        <w:rPr>
          <w:noProof/>
        </w:rPr>
        <w:tab/>
      </w:r>
      <w:r>
        <w:rPr>
          <w:noProof/>
        </w:rPr>
        <w:fldChar w:fldCharType="begin"/>
      </w:r>
      <w:r>
        <w:rPr>
          <w:noProof/>
        </w:rPr>
        <w:instrText xml:space="preserve"> PAGEREF _Toc8979331 \h </w:instrText>
      </w:r>
      <w:r>
        <w:rPr>
          <w:noProof/>
        </w:rPr>
      </w:r>
      <w:r>
        <w:rPr>
          <w:noProof/>
        </w:rPr>
        <w:fldChar w:fldCharType="separate"/>
      </w:r>
      <w:r w:rsidR="00BC7B71">
        <w:rPr>
          <w:noProof/>
        </w:rPr>
        <w:t>32</w:t>
      </w:r>
      <w:r>
        <w:rPr>
          <w:noProof/>
        </w:rPr>
        <w:fldChar w:fldCharType="end"/>
      </w:r>
    </w:p>
    <w:p w14:paraId="041E2DF4" w14:textId="77777777" w:rsidR="00CB0864" w:rsidRDefault="00CB0864">
      <w:pPr>
        <w:pStyle w:val="TOC2"/>
        <w:rPr>
          <w:rFonts w:asciiTheme="minorHAnsi" w:eastAsiaTheme="minorEastAsia" w:hAnsiTheme="minorHAnsi" w:cstheme="minorBidi"/>
          <w:noProof/>
          <w:szCs w:val="22"/>
          <w:lang w:eastAsia="en-NZ"/>
        </w:rPr>
      </w:pPr>
      <w:r>
        <w:rPr>
          <w:noProof/>
        </w:rPr>
        <w:t>1.6.2</w:t>
      </w:r>
      <w:r>
        <w:rPr>
          <w:rFonts w:asciiTheme="minorHAnsi" w:eastAsiaTheme="minorEastAsia" w:hAnsiTheme="minorHAnsi" w:cstheme="minorBidi"/>
          <w:noProof/>
          <w:szCs w:val="22"/>
          <w:lang w:eastAsia="en-NZ"/>
        </w:rPr>
        <w:tab/>
      </w:r>
      <w:r>
        <w:rPr>
          <w:noProof/>
        </w:rPr>
        <w:t>Four tools used by the World Health Organization</w:t>
      </w:r>
      <w:r>
        <w:rPr>
          <w:noProof/>
        </w:rPr>
        <w:tab/>
      </w:r>
      <w:r>
        <w:rPr>
          <w:noProof/>
        </w:rPr>
        <w:fldChar w:fldCharType="begin"/>
      </w:r>
      <w:r>
        <w:rPr>
          <w:noProof/>
        </w:rPr>
        <w:instrText xml:space="preserve"> PAGEREF _Toc8979332 \h </w:instrText>
      </w:r>
      <w:r>
        <w:rPr>
          <w:noProof/>
        </w:rPr>
      </w:r>
      <w:r>
        <w:rPr>
          <w:noProof/>
        </w:rPr>
        <w:fldChar w:fldCharType="separate"/>
      </w:r>
      <w:r w:rsidR="00BC7B71">
        <w:rPr>
          <w:noProof/>
        </w:rPr>
        <w:t>33</w:t>
      </w:r>
      <w:r>
        <w:rPr>
          <w:noProof/>
        </w:rPr>
        <w:fldChar w:fldCharType="end"/>
      </w:r>
    </w:p>
    <w:p w14:paraId="041E2DF5" w14:textId="77777777" w:rsidR="00CB0864" w:rsidRDefault="00CB0864">
      <w:pPr>
        <w:pStyle w:val="TOC2"/>
        <w:rPr>
          <w:rFonts w:asciiTheme="minorHAnsi" w:eastAsiaTheme="minorEastAsia" w:hAnsiTheme="minorHAnsi" w:cstheme="minorBidi"/>
          <w:noProof/>
          <w:szCs w:val="22"/>
          <w:lang w:eastAsia="en-NZ"/>
        </w:rPr>
      </w:pPr>
      <w:r>
        <w:rPr>
          <w:noProof/>
        </w:rPr>
        <w:t>1.6.3</w:t>
      </w:r>
      <w:r>
        <w:rPr>
          <w:rFonts w:asciiTheme="minorHAnsi" w:eastAsiaTheme="minorEastAsia" w:hAnsiTheme="minorHAnsi" w:cstheme="minorBidi"/>
          <w:noProof/>
          <w:szCs w:val="22"/>
          <w:lang w:eastAsia="en-NZ"/>
        </w:rPr>
        <w:tab/>
      </w:r>
      <w:r>
        <w:rPr>
          <w:noProof/>
        </w:rPr>
        <w:t>The six guiding principles of drinking-water safety</w:t>
      </w:r>
      <w:r>
        <w:rPr>
          <w:noProof/>
        </w:rPr>
        <w:tab/>
      </w:r>
      <w:r>
        <w:rPr>
          <w:noProof/>
        </w:rPr>
        <w:fldChar w:fldCharType="begin"/>
      </w:r>
      <w:r>
        <w:rPr>
          <w:noProof/>
        </w:rPr>
        <w:instrText xml:space="preserve"> PAGEREF _Toc8979333 \h </w:instrText>
      </w:r>
      <w:r>
        <w:rPr>
          <w:noProof/>
        </w:rPr>
      </w:r>
      <w:r>
        <w:rPr>
          <w:noProof/>
        </w:rPr>
        <w:fldChar w:fldCharType="separate"/>
      </w:r>
      <w:r w:rsidR="00BC7B71">
        <w:rPr>
          <w:noProof/>
        </w:rPr>
        <w:t>33</w:t>
      </w:r>
      <w:r>
        <w:rPr>
          <w:noProof/>
        </w:rPr>
        <w:fldChar w:fldCharType="end"/>
      </w:r>
    </w:p>
    <w:p w14:paraId="041E2DF6" w14:textId="77777777" w:rsidR="00CB0864" w:rsidRDefault="00CB0864">
      <w:pPr>
        <w:pStyle w:val="TOC2"/>
        <w:rPr>
          <w:rFonts w:asciiTheme="minorHAnsi" w:eastAsiaTheme="minorEastAsia" w:hAnsiTheme="minorHAnsi" w:cstheme="minorBidi"/>
          <w:noProof/>
          <w:szCs w:val="22"/>
          <w:lang w:eastAsia="en-NZ"/>
        </w:rPr>
      </w:pPr>
      <w:r>
        <w:rPr>
          <w:noProof/>
        </w:rPr>
        <w:t>1.6.4</w:t>
      </w:r>
      <w:r>
        <w:rPr>
          <w:rFonts w:asciiTheme="minorHAnsi" w:eastAsiaTheme="minorEastAsia" w:hAnsiTheme="minorHAnsi" w:cstheme="minorBidi"/>
          <w:noProof/>
          <w:szCs w:val="22"/>
          <w:lang w:eastAsia="en-NZ"/>
        </w:rPr>
        <w:tab/>
      </w:r>
      <w:r>
        <w:rPr>
          <w:noProof/>
        </w:rPr>
        <w:t>Drinking-water Standards for New Zealand</w:t>
      </w:r>
      <w:r>
        <w:rPr>
          <w:noProof/>
        </w:rPr>
        <w:tab/>
      </w:r>
      <w:r>
        <w:rPr>
          <w:noProof/>
        </w:rPr>
        <w:fldChar w:fldCharType="begin"/>
      </w:r>
      <w:r>
        <w:rPr>
          <w:noProof/>
        </w:rPr>
        <w:instrText xml:space="preserve"> PAGEREF _Toc8979334 \h </w:instrText>
      </w:r>
      <w:r>
        <w:rPr>
          <w:noProof/>
        </w:rPr>
      </w:r>
      <w:r>
        <w:rPr>
          <w:noProof/>
        </w:rPr>
        <w:fldChar w:fldCharType="separate"/>
      </w:r>
      <w:r w:rsidR="00BC7B71">
        <w:rPr>
          <w:noProof/>
        </w:rPr>
        <w:t>35</w:t>
      </w:r>
      <w:r>
        <w:rPr>
          <w:noProof/>
        </w:rPr>
        <w:fldChar w:fldCharType="end"/>
      </w:r>
    </w:p>
    <w:p w14:paraId="041E2DF7" w14:textId="77777777" w:rsidR="00CB0864" w:rsidRDefault="00CB0864">
      <w:pPr>
        <w:pStyle w:val="TOC2"/>
        <w:rPr>
          <w:rFonts w:asciiTheme="minorHAnsi" w:eastAsiaTheme="minorEastAsia" w:hAnsiTheme="minorHAnsi" w:cstheme="minorBidi"/>
          <w:noProof/>
          <w:szCs w:val="22"/>
          <w:lang w:eastAsia="en-NZ"/>
        </w:rPr>
      </w:pPr>
      <w:r>
        <w:rPr>
          <w:noProof/>
        </w:rPr>
        <w:t>1.6.5</w:t>
      </w:r>
      <w:r>
        <w:rPr>
          <w:rFonts w:asciiTheme="minorHAnsi" w:eastAsiaTheme="minorEastAsia" w:hAnsiTheme="minorHAnsi" w:cstheme="minorBidi"/>
          <w:noProof/>
          <w:szCs w:val="22"/>
          <w:lang w:eastAsia="en-NZ"/>
        </w:rPr>
        <w:tab/>
      </w:r>
      <w:r>
        <w:rPr>
          <w:noProof/>
        </w:rPr>
        <w:t>Guidelines for Drinking-water Quality Management in New Zealand</w:t>
      </w:r>
      <w:r>
        <w:rPr>
          <w:noProof/>
        </w:rPr>
        <w:tab/>
      </w:r>
      <w:r>
        <w:rPr>
          <w:noProof/>
        </w:rPr>
        <w:fldChar w:fldCharType="begin"/>
      </w:r>
      <w:r>
        <w:rPr>
          <w:noProof/>
        </w:rPr>
        <w:instrText xml:space="preserve"> PAGEREF _Toc8979335 \h </w:instrText>
      </w:r>
      <w:r>
        <w:rPr>
          <w:noProof/>
        </w:rPr>
      </w:r>
      <w:r>
        <w:rPr>
          <w:noProof/>
        </w:rPr>
        <w:fldChar w:fldCharType="separate"/>
      </w:r>
      <w:r w:rsidR="00BC7B71">
        <w:rPr>
          <w:noProof/>
        </w:rPr>
        <w:t>39</w:t>
      </w:r>
      <w:r>
        <w:rPr>
          <w:noProof/>
        </w:rPr>
        <w:fldChar w:fldCharType="end"/>
      </w:r>
    </w:p>
    <w:p w14:paraId="041E2DF8" w14:textId="77777777" w:rsidR="00CB0864" w:rsidRDefault="00CB0864">
      <w:pPr>
        <w:pStyle w:val="TOC2"/>
        <w:rPr>
          <w:rFonts w:asciiTheme="minorHAnsi" w:eastAsiaTheme="minorEastAsia" w:hAnsiTheme="minorHAnsi" w:cstheme="minorBidi"/>
          <w:noProof/>
          <w:szCs w:val="22"/>
          <w:lang w:eastAsia="en-NZ"/>
        </w:rPr>
      </w:pPr>
      <w:r>
        <w:rPr>
          <w:noProof/>
        </w:rPr>
        <w:t>1.6.6</w:t>
      </w:r>
      <w:r>
        <w:rPr>
          <w:rFonts w:asciiTheme="minorHAnsi" w:eastAsiaTheme="minorEastAsia" w:hAnsiTheme="minorHAnsi" w:cstheme="minorBidi"/>
          <w:noProof/>
          <w:szCs w:val="22"/>
          <w:lang w:eastAsia="en-NZ"/>
        </w:rPr>
        <w:tab/>
      </w:r>
      <w:r>
        <w:rPr>
          <w:noProof/>
        </w:rPr>
        <w:t>Water safety plans</w:t>
      </w:r>
      <w:r>
        <w:rPr>
          <w:noProof/>
        </w:rPr>
        <w:tab/>
      </w:r>
      <w:r>
        <w:rPr>
          <w:noProof/>
        </w:rPr>
        <w:fldChar w:fldCharType="begin"/>
      </w:r>
      <w:r>
        <w:rPr>
          <w:noProof/>
        </w:rPr>
        <w:instrText xml:space="preserve"> PAGEREF _Toc8979336 \h </w:instrText>
      </w:r>
      <w:r>
        <w:rPr>
          <w:noProof/>
        </w:rPr>
      </w:r>
      <w:r>
        <w:rPr>
          <w:noProof/>
        </w:rPr>
        <w:fldChar w:fldCharType="separate"/>
      </w:r>
      <w:r w:rsidR="00BC7B71">
        <w:rPr>
          <w:noProof/>
        </w:rPr>
        <w:t>39</w:t>
      </w:r>
      <w:r>
        <w:rPr>
          <w:noProof/>
        </w:rPr>
        <w:fldChar w:fldCharType="end"/>
      </w:r>
    </w:p>
    <w:p w14:paraId="041E2DF9" w14:textId="77777777" w:rsidR="00CB0864" w:rsidRDefault="00CB0864">
      <w:pPr>
        <w:pStyle w:val="TOC2"/>
        <w:rPr>
          <w:rFonts w:asciiTheme="minorHAnsi" w:eastAsiaTheme="minorEastAsia" w:hAnsiTheme="minorHAnsi" w:cstheme="minorBidi"/>
          <w:noProof/>
          <w:szCs w:val="22"/>
          <w:lang w:eastAsia="en-NZ"/>
        </w:rPr>
      </w:pPr>
      <w:r>
        <w:rPr>
          <w:noProof/>
        </w:rPr>
        <w:t>1.6.7</w:t>
      </w:r>
      <w:r>
        <w:rPr>
          <w:rFonts w:asciiTheme="minorHAnsi" w:eastAsiaTheme="minorEastAsia" w:hAnsiTheme="minorHAnsi" w:cstheme="minorBidi"/>
          <w:noProof/>
          <w:szCs w:val="22"/>
          <w:lang w:eastAsia="en-NZ"/>
        </w:rPr>
        <w:tab/>
      </w:r>
      <w:r>
        <w:rPr>
          <w:noProof/>
        </w:rPr>
        <w:t>Public health grading of drinking-water supplies</w:t>
      </w:r>
      <w:r>
        <w:rPr>
          <w:noProof/>
        </w:rPr>
        <w:tab/>
      </w:r>
      <w:r>
        <w:rPr>
          <w:noProof/>
        </w:rPr>
        <w:fldChar w:fldCharType="begin"/>
      </w:r>
      <w:r>
        <w:rPr>
          <w:noProof/>
        </w:rPr>
        <w:instrText xml:space="preserve"> PAGEREF _Toc8979337 \h </w:instrText>
      </w:r>
      <w:r>
        <w:rPr>
          <w:noProof/>
        </w:rPr>
      </w:r>
      <w:r>
        <w:rPr>
          <w:noProof/>
        </w:rPr>
        <w:fldChar w:fldCharType="separate"/>
      </w:r>
      <w:r w:rsidR="00BC7B71">
        <w:rPr>
          <w:noProof/>
        </w:rPr>
        <w:t>41</w:t>
      </w:r>
      <w:r>
        <w:rPr>
          <w:noProof/>
        </w:rPr>
        <w:fldChar w:fldCharType="end"/>
      </w:r>
    </w:p>
    <w:p w14:paraId="041E2DFA" w14:textId="77777777" w:rsidR="00CB0864" w:rsidRDefault="00CB0864">
      <w:pPr>
        <w:pStyle w:val="TOC2"/>
        <w:rPr>
          <w:rFonts w:asciiTheme="minorHAnsi" w:eastAsiaTheme="minorEastAsia" w:hAnsiTheme="minorHAnsi" w:cstheme="minorBidi"/>
          <w:noProof/>
          <w:szCs w:val="22"/>
          <w:lang w:eastAsia="en-NZ"/>
        </w:rPr>
      </w:pPr>
      <w:r>
        <w:rPr>
          <w:noProof/>
        </w:rPr>
        <w:t>1.6.8</w:t>
      </w:r>
      <w:r>
        <w:rPr>
          <w:rFonts w:asciiTheme="minorHAnsi" w:eastAsiaTheme="minorEastAsia" w:hAnsiTheme="minorHAnsi" w:cstheme="minorBidi"/>
          <w:noProof/>
          <w:szCs w:val="22"/>
          <w:lang w:eastAsia="en-NZ"/>
        </w:rPr>
        <w:tab/>
      </w:r>
      <w:r>
        <w:rPr>
          <w:noProof/>
        </w:rPr>
        <w:t>Drinking-water assessment</w:t>
      </w:r>
      <w:r>
        <w:rPr>
          <w:noProof/>
        </w:rPr>
        <w:tab/>
      </w:r>
      <w:r>
        <w:rPr>
          <w:noProof/>
        </w:rPr>
        <w:fldChar w:fldCharType="begin"/>
      </w:r>
      <w:r>
        <w:rPr>
          <w:noProof/>
        </w:rPr>
        <w:instrText xml:space="preserve"> PAGEREF _Toc8979338 \h </w:instrText>
      </w:r>
      <w:r>
        <w:rPr>
          <w:noProof/>
        </w:rPr>
      </w:r>
      <w:r>
        <w:rPr>
          <w:noProof/>
        </w:rPr>
        <w:fldChar w:fldCharType="separate"/>
      </w:r>
      <w:r w:rsidR="00BC7B71">
        <w:rPr>
          <w:noProof/>
        </w:rPr>
        <w:t>41</w:t>
      </w:r>
      <w:r>
        <w:rPr>
          <w:noProof/>
        </w:rPr>
        <w:fldChar w:fldCharType="end"/>
      </w:r>
    </w:p>
    <w:p w14:paraId="041E2DFB" w14:textId="77777777" w:rsidR="00CB0864" w:rsidRDefault="00CB0864">
      <w:pPr>
        <w:pStyle w:val="TOC2"/>
        <w:rPr>
          <w:rFonts w:asciiTheme="minorHAnsi" w:eastAsiaTheme="minorEastAsia" w:hAnsiTheme="minorHAnsi" w:cstheme="minorBidi"/>
          <w:noProof/>
          <w:szCs w:val="22"/>
          <w:lang w:eastAsia="en-NZ"/>
        </w:rPr>
      </w:pPr>
      <w:r>
        <w:rPr>
          <w:noProof/>
        </w:rPr>
        <w:t>1.6.9</w:t>
      </w:r>
      <w:r>
        <w:rPr>
          <w:rFonts w:asciiTheme="minorHAnsi" w:eastAsiaTheme="minorEastAsia" w:hAnsiTheme="minorHAnsi" w:cstheme="minorBidi"/>
          <w:noProof/>
          <w:szCs w:val="22"/>
          <w:lang w:eastAsia="en-NZ"/>
        </w:rPr>
        <w:tab/>
      </w:r>
      <w:r>
        <w:rPr>
          <w:noProof/>
        </w:rPr>
        <w:t>Monitoring</w:t>
      </w:r>
      <w:r>
        <w:rPr>
          <w:noProof/>
        </w:rPr>
        <w:tab/>
      </w:r>
      <w:r>
        <w:rPr>
          <w:noProof/>
        </w:rPr>
        <w:fldChar w:fldCharType="begin"/>
      </w:r>
      <w:r>
        <w:rPr>
          <w:noProof/>
        </w:rPr>
        <w:instrText xml:space="preserve"> PAGEREF _Toc8979339 \h </w:instrText>
      </w:r>
      <w:r>
        <w:rPr>
          <w:noProof/>
        </w:rPr>
      </w:r>
      <w:r>
        <w:rPr>
          <w:noProof/>
        </w:rPr>
        <w:fldChar w:fldCharType="separate"/>
      </w:r>
      <w:r w:rsidR="00BC7B71">
        <w:rPr>
          <w:noProof/>
        </w:rPr>
        <w:t>41</w:t>
      </w:r>
      <w:r>
        <w:rPr>
          <w:noProof/>
        </w:rPr>
        <w:fldChar w:fldCharType="end"/>
      </w:r>
    </w:p>
    <w:p w14:paraId="041E2DFC" w14:textId="77777777" w:rsidR="00CB0864" w:rsidRDefault="00CB0864">
      <w:pPr>
        <w:pStyle w:val="TOC2"/>
        <w:rPr>
          <w:rFonts w:asciiTheme="minorHAnsi" w:eastAsiaTheme="minorEastAsia" w:hAnsiTheme="minorHAnsi" w:cstheme="minorBidi"/>
          <w:noProof/>
          <w:szCs w:val="22"/>
          <w:lang w:eastAsia="en-NZ"/>
        </w:rPr>
      </w:pPr>
      <w:r>
        <w:rPr>
          <w:noProof/>
        </w:rPr>
        <w:t>1.6.10</w:t>
      </w:r>
      <w:r>
        <w:rPr>
          <w:rFonts w:asciiTheme="minorHAnsi" w:eastAsiaTheme="minorEastAsia" w:hAnsiTheme="minorHAnsi" w:cstheme="minorBidi"/>
          <w:noProof/>
          <w:szCs w:val="22"/>
          <w:lang w:eastAsia="en-NZ"/>
        </w:rPr>
        <w:tab/>
      </w:r>
      <w:r>
        <w:rPr>
          <w:noProof/>
        </w:rPr>
        <w:t>Surveillance</w:t>
      </w:r>
      <w:r>
        <w:rPr>
          <w:noProof/>
        </w:rPr>
        <w:tab/>
      </w:r>
      <w:r>
        <w:rPr>
          <w:noProof/>
        </w:rPr>
        <w:fldChar w:fldCharType="begin"/>
      </w:r>
      <w:r>
        <w:rPr>
          <w:noProof/>
        </w:rPr>
        <w:instrText xml:space="preserve"> PAGEREF _Toc8979340 \h </w:instrText>
      </w:r>
      <w:r>
        <w:rPr>
          <w:noProof/>
        </w:rPr>
      </w:r>
      <w:r>
        <w:rPr>
          <w:noProof/>
        </w:rPr>
        <w:fldChar w:fldCharType="separate"/>
      </w:r>
      <w:r w:rsidR="00BC7B71">
        <w:rPr>
          <w:noProof/>
        </w:rPr>
        <w:t>42</w:t>
      </w:r>
      <w:r>
        <w:rPr>
          <w:noProof/>
        </w:rPr>
        <w:fldChar w:fldCharType="end"/>
      </w:r>
    </w:p>
    <w:p w14:paraId="041E2DFD" w14:textId="77777777" w:rsidR="00CB0864" w:rsidRDefault="00CB0864">
      <w:pPr>
        <w:pStyle w:val="TOC2"/>
        <w:rPr>
          <w:rFonts w:asciiTheme="minorHAnsi" w:eastAsiaTheme="minorEastAsia" w:hAnsiTheme="minorHAnsi" w:cstheme="minorBidi"/>
          <w:noProof/>
          <w:szCs w:val="22"/>
          <w:lang w:eastAsia="en-NZ"/>
        </w:rPr>
      </w:pPr>
      <w:r>
        <w:rPr>
          <w:noProof/>
        </w:rPr>
        <w:t>1.6.11</w:t>
      </w:r>
      <w:r>
        <w:rPr>
          <w:rFonts w:asciiTheme="minorHAnsi" w:eastAsiaTheme="minorEastAsia" w:hAnsiTheme="minorHAnsi" w:cstheme="minorBidi"/>
          <w:noProof/>
          <w:szCs w:val="22"/>
          <w:lang w:eastAsia="en-NZ"/>
        </w:rPr>
        <w:tab/>
      </w:r>
      <w:r>
        <w:rPr>
          <w:noProof/>
        </w:rPr>
        <w:t>Identifying priority 2 and priority 3 determinands</w:t>
      </w:r>
      <w:r>
        <w:rPr>
          <w:noProof/>
        </w:rPr>
        <w:tab/>
      </w:r>
      <w:r>
        <w:rPr>
          <w:noProof/>
        </w:rPr>
        <w:fldChar w:fldCharType="begin"/>
      </w:r>
      <w:r>
        <w:rPr>
          <w:noProof/>
        </w:rPr>
        <w:instrText xml:space="preserve"> PAGEREF _Toc8979341 \h </w:instrText>
      </w:r>
      <w:r>
        <w:rPr>
          <w:noProof/>
        </w:rPr>
      </w:r>
      <w:r>
        <w:rPr>
          <w:noProof/>
        </w:rPr>
        <w:fldChar w:fldCharType="separate"/>
      </w:r>
      <w:r w:rsidR="00BC7B71">
        <w:rPr>
          <w:noProof/>
        </w:rPr>
        <w:t>42</w:t>
      </w:r>
      <w:r>
        <w:rPr>
          <w:noProof/>
        </w:rPr>
        <w:fldChar w:fldCharType="end"/>
      </w:r>
    </w:p>
    <w:p w14:paraId="041E2DFE" w14:textId="77777777" w:rsidR="00CB0864" w:rsidRDefault="00CB0864">
      <w:pPr>
        <w:pStyle w:val="TOC2"/>
        <w:rPr>
          <w:rFonts w:asciiTheme="minorHAnsi" w:eastAsiaTheme="minorEastAsia" w:hAnsiTheme="minorHAnsi" w:cstheme="minorBidi"/>
          <w:noProof/>
          <w:szCs w:val="22"/>
          <w:lang w:eastAsia="en-NZ"/>
        </w:rPr>
      </w:pPr>
      <w:r>
        <w:rPr>
          <w:noProof/>
        </w:rPr>
        <w:t>1.6.12</w:t>
      </w:r>
      <w:r>
        <w:rPr>
          <w:rFonts w:asciiTheme="minorHAnsi" w:eastAsiaTheme="minorEastAsia" w:hAnsiTheme="minorHAnsi" w:cstheme="minorBidi"/>
          <w:noProof/>
          <w:szCs w:val="22"/>
          <w:lang w:eastAsia="en-NZ"/>
        </w:rPr>
        <w:tab/>
      </w:r>
      <w:r>
        <w:rPr>
          <w:noProof/>
        </w:rPr>
        <w:t>Register of Community Drinking-water Supplies and Suppliers in New Zealand</w:t>
      </w:r>
      <w:r>
        <w:rPr>
          <w:noProof/>
        </w:rPr>
        <w:tab/>
      </w:r>
      <w:r>
        <w:rPr>
          <w:noProof/>
        </w:rPr>
        <w:fldChar w:fldCharType="begin"/>
      </w:r>
      <w:r>
        <w:rPr>
          <w:noProof/>
        </w:rPr>
        <w:instrText xml:space="preserve"> PAGEREF _Toc8979342 \h </w:instrText>
      </w:r>
      <w:r>
        <w:rPr>
          <w:noProof/>
        </w:rPr>
      </w:r>
      <w:r>
        <w:rPr>
          <w:noProof/>
        </w:rPr>
        <w:fldChar w:fldCharType="separate"/>
      </w:r>
      <w:r w:rsidR="00BC7B71">
        <w:rPr>
          <w:noProof/>
        </w:rPr>
        <w:t>43</w:t>
      </w:r>
      <w:r>
        <w:rPr>
          <w:noProof/>
        </w:rPr>
        <w:fldChar w:fldCharType="end"/>
      </w:r>
    </w:p>
    <w:p w14:paraId="041E2DFF" w14:textId="77777777" w:rsidR="00CB0864" w:rsidRDefault="00CB0864">
      <w:pPr>
        <w:pStyle w:val="TOC2"/>
        <w:rPr>
          <w:rFonts w:asciiTheme="minorHAnsi" w:eastAsiaTheme="minorEastAsia" w:hAnsiTheme="minorHAnsi" w:cstheme="minorBidi"/>
          <w:noProof/>
          <w:szCs w:val="22"/>
          <w:lang w:eastAsia="en-NZ"/>
        </w:rPr>
      </w:pPr>
      <w:r>
        <w:rPr>
          <w:noProof/>
        </w:rPr>
        <w:t>1.6.13</w:t>
      </w:r>
      <w:r>
        <w:rPr>
          <w:rFonts w:asciiTheme="minorHAnsi" w:eastAsiaTheme="minorEastAsia" w:hAnsiTheme="minorHAnsi" w:cstheme="minorBidi"/>
          <w:noProof/>
          <w:szCs w:val="22"/>
          <w:lang w:eastAsia="en-NZ"/>
        </w:rPr>
        <w:tab/>
      </w:r>
      <w:r>
        <w:rPr>
          <w:noProof/>
        </w:rPr>
        <w:t>Annual Review of Drinking-water Quality in New Zealand</w:t>
      </w:r>
      <w:r>
        <w:rPr>
          <w:noProof/>
        </w:rPr>
        <w:tab/>
      </w:r>
      <w:r>
        <w:rPr>
          <w:noProof/>
        </w:rPr>
        <w:fldChar w:fldCharType="begin"/>
      </w:r>
      <w:r>
        <w:rPr>
          <w:noProof/>
        </w:rPr>
        <w:instrText xml:space="preserve"> PAGEREF _Toc8979343 \h </w:instrText>
      </w:r>
      <w:r>
        <w:rPr>
          <w:noProof/>
        </w:rPr>
      </w:r>
      <w:r>
        <w:rPr>
          <w:noProof/>
        </w:rPr>
        <w:fldChar w:fldCharType="separate"/>
      </w:r>
      <w:r w:rsidR="00BC7B71">
        <w:rPr>
          <w:noProof/>
        </w:rPr>
        <w:t>44</w:t>
      </w:r>
      <w:r>
        <w:rPr>
          <w:noProof/>
        </w:rPr>
        <w:fldChar w:fldCharType="end"/>
      </w:r>
    </w:p>
    <w:p w14:paraId="041E2E00" w14:textId="77777777" w:rsidR="00CB0864" w:rsidRDefault="00CB0864">
      <w:pPr>
        <w:pStyle w:val="TOC2"/>
        <w:rPr>
          <w:rFonts w:asciiTheme="minorHAnsi" w:eastAsiaTheme="minorEastAsia" w:hAnsiTheme="minorHAnsi" w:cstheme="minorBidi"/>
          <w:noProof/>
          <w:szCs w:val="22"/>
          <w:lang w:eastAsia="en-NZ"/>
        </w:rPr>
      </w:pPr>
      <w:r>
        <w:rPr>
          <w:noProof/>
        </w:rPr>
        <w:t>1.6.14</w:t>
      </w:r>
      <w:r>
        <w:rPr>
          <w:rFonts w:asciiTheme="minorHAnsi" w:eastAsiaTheme="minorEastAsia" w:hAnsiTheme="minorHAnsi" w:cstheme="minorBidi"/>
          <w:noProof/>
          <w:szCs w:val="22"/>
          <w:lang w:eastAsia="en-NZ"/>
        </w:rPr>
        <w:tab/>
      </w:r>
      <w:r>
        <w:rPr>
          <w:noProof/>
        </w:rPr>
        <w:t>Register of recognised laboratories</w:t>
      </w:r>
      <w:r>
        <w:rPr>
          <w:noProof/>
        </w:rPr>
        <w:tab/>
      </w:r>
      <w:r>
        <w:rPr>
          <w:noProof/>
        </w:rPr>
        <w:fldChar w:fldCharType="begin"/>
      </w:r>
      <w:r>
        <w:rPr>
          <w:noProof/>
        </w:rPr>
        <w:instrText xml:space="preserve"> PAGEREF _Toc8979344 \h </w:instrText>
      </w:r>
      <w:r>
        <w:rPr>
          <w:noProof/>
        </w:rPr>
      </w:r>
      <w:r>
        <w:rPr>
          <w:noProof/>
        </w:rPr>
        <w:fldChar w:fldCharType="separate"/>
      </w:r>
      <w:r w:rsidR="00BC7B71">
        <w:rPr>
          <w:noProof/>
        </w:rPr>
        <w:t>44</w:t>
      </w:r>
      <w:r>
        <w:rPr>
          <w:noProof/>
        </w:rPr>
        <w:fldChar w:fldCharType="end"/>
      </w:r>
    </w:p>
    <w:p w14:paraId="041E2E01" w14:textId="77777777" w:rsidR="00CB0864" w:rsidRDefault="00CB0864">
      <w:pPr>
        <w:pStyle w:val="TOC2"/>
        <w:rPr>
          <w:rFonts w:asciiTheme="minorHAnsi" w:eastAsiaTheme="minorEastAsia" w:hAnsiTheme="minorHAnsi" w:cstheme="minorBidi"/>
          <w:noProof/>
          <w:szCs w:val="22"/>
          <w:lang w:eastAsia="en-NZ"/>
        </w:rPr>
      </w:pPr>
      <w:r>
        <w:rPr>
          <w:noProof/>
        </w:rPr>
        <w:t>1.6.15</w:t>
      </w:r>
      <w:r>
        <w:rPr>
          <w:rFonts w:asciiTheme="minorHAnsi" w:eastAsiaTheme="minorEastAsia" w:hAnsiTheme="minorHAnsi" w:cstheme="minorBidi"/>
          <w:noProof/>
          <w:szCs w:val="22"/>
          <w:lang w:eastAsia="en-NZ"/>
        </w:rPr>
        <w:tab/>
      </w:r>
      <w:r>
        <w:rPr>
          <w:noProof/>
        </w:rPr>
        <w:t>Records</w:t>
      </w:r>
      <w:r>
        <w:rPr>
          <w:noProof/>
        </w:rPr>
        <w:tab/>
      </w:r>
      <w:r>
        <w:rPr>
          <w:noProof/>
        </w:rPr>
        <w:fldChar w:fldCharType="begin"/>
      </w:r>
      <w:r>
        <w:rPr>
          <w:noProof/>
        </w:rPr>
        <w:instrText xml:space="preserve"> PAGEREF _Toc8979345 \h </w:instrText>
      </w:r>
      <w:r>
        <w:rPr>
          <w:noProof/>
        </w:rPr>
      </w:r>
      <w:r>
        <w:rPr>
          <w:noProof/>
        </w:rPr>
        <w:fldChar w:fldCharType="separate"/>
      </w:r>
      <w:r w:rsidR="00BC7B71">
        <w:rPr>
          <w:noProof/>
        </w:rPr>
        <w:t>45</w:t>
      </w:r>
      <w:r>
        <w:rPr>
          <w:noProof/>
        </w:rPr>
        <w:fldChar w:fldCharType="end"/>
      </w:r>
    </w:p>
    <w:p w14:paraId="041E2E02" w14:textId="77777777" w:rsidR="00CB0864" w:rsidRDefault="00CB0864">
      <w:pPr>
        <w:pStyle w:val="TOC1"/>
        <w:rPr>
          <w:rFonts w:asciiTheme="minorHAnsi" w:eastAsiaTheme="minorEastAsia" w:hAnsiTheme="minorHAnsi" w:cstheme="minorBidi"/>
          <w:noProof/>
          <w:sz w:val="22"/>
          <w:szCs w:val="22"/>
          <w:lang w:eastAsia="en-NZ"/>
        </w:rPr>
      </w:pPr>
      <w:r>
        <w:rPr>
          <w:noProof/>
        </w:rPr>
        <w:t>1.7</w:t>
      </w:r>
      <w:r>
        <w:rPr>
          <w:rFonts w:asciiTheme="minorHAnsi" w:eastAsiaTheme="minorEastAsia" w:hAnsiTheme="minorHAnsi" w:cstheme="minorBidi"/>
          <w:noProof/>
          <w:sz w:val="22"/>
          <w:szCs w:val="22"/>
          <w:lang w:eastAsia="en-NZ"/>
        </w:rPr>
        <w:tab/>
      </w:r>
      <w:r>
        <w:rPr>
          <w:noProof/>
        </w:rPr>
        <w:t>Other drinking-water requirements</w:t>
      </w:r>
      <w:r>
        <w:rPr>
          <w:noProof/>
        </w:rPr>
        <w:tab/>
      </w:r>
      <w:r>
        <w:rPr>
          <w:noProof/>
        </w:rPr>
        <w:fldChar w:fldCharType="begin"/>
      </w:r>
      <w:r>
        <w:rPr>
          <w:noProof/>
        </w:rPr>
        <w:instrText xml:space="preserve"> PAGEREF _Toc8979346 \h </w:instrText>
      </w:r>
      <w:r>
        <w:rPr>
          <w:noProof/>
        </w:rPr>
      </w:r>
      <w:r>
        <w:rPr>
          <w:noProof/>
        </w:rPr>
        <w:fldChar w:fldCharType="separate"/>
      </w:r>
      <w:r w:rsidR="00BC7B71">
        <w:rPr>
          <w:noProof/>
        </w:rPr>
        <w:t>46</w:t>
      </w:r>
      <w:r>
        <w:rPr>
          <w:noProof/>
        </w:rPr>
        <w:fldChar w:fldCharType="end"/>
      </w:r>
    </w:p>
    <w:p w14:paraId="041E2E03" w14:textId="77777777" w:rsidR="00CB0864" w:rsidRDefault="00CB0864">
      <w:pPr>
        <w:pStyle w:val="TOC2"/>
        <w:rPr>
          <w:rFonts w:asciiTheme="minorHAnsi" w:eastAsiaTheme="minorEastAsia" w:hAnsiTheme="minorHAnsi" w:cstheme="minorBidi"/>
          <w:noProof/>
          <w:szCs w:val="22"/>
          <w:lang w:eastAsia="en-NZ"/>
        </w:rPr>
      </w:pPr>
      <w:r>
        <w:rPr>
          <w:noProof/>
        </w:rPr>
        <w:t>1.7.1</w:t>
      </w:r>
      <w:r>
        <w:rPr>
          <w:rFonts w:asciiTheme="minorHAnsi" w:eastAsiaTheme="minorEastAsia" w:hAnsiTheme="minorHAnsi" w:cstheme="minorBidi"/>
          <w:noProof/>
          <w:szCs w:val="22"/>
          <w:lang w:eastAsia="en-NZ"/>
        </w:rPr>
        <w:tab/>
      </w:r>
      <w:r>
        <w:rPr>
          <w:noProof/>
        </w:rPr>
        <w:t>Drinking-water quality at airports</w:t>
      </w:r>
      <w:r>
        <w:rPr>
          <w:noProof/>
        </w:rPr>
        <w:tab/>
      </w:r>
      <w:r>
        <w:rPr>
          <w:noProof/>
        </w:rPr>
        <w:fldChar w:fldCharType="begin"/>
      </w:r>
      <w:r>
        <w:rPr>
          <w:noProof/>
        </w:rPr>
        <w:instrText xml:space="preserve"> PAGEREF _Toc8979347 \h </w:instrText>
      </w:r>
      <w:r>
        <w:rPr>
          <w:noProof/>
        </w:rPr>
      </w:r>
      <w:r>
        <w:rPr>
          <w:noProof/>
        </w:rPr>
        <w:fldChar w:fldCharType="separate"/>
      </w:r>
      <w:r w:rsidR="00BC7B71">
        <w:rPr>
          <w:noProof/>
        </w:rPr>
        <w:t>46</w:t>
      </w:r>
      <w:r>
        <w:rPr>
          <w:noProof/>
        </w:rPr>
        <w:fldChar w:fldCharType="end"/>
      </w:r>
    </w:p>
    <w:p w14:paraId="041E2E04" w14:textId="77777777" w:rsidR="00CB0864" w:rsidRDefault="00CB0864">
      <w:pPr>
        <w:pStyle w:val="TOC2"/>
        <w:rPr>
          <w:rFonts w:asciiTheme="minorHAnsi" w:eastAsiaTheme="minorEastAsia" w:hAnsiTheme="minorHAnsi" w:cstheme="minorBidi"/>
          <w:noProof/>
          <w:szCs w:val="22"/>
          <w:lang w:eastAsia="en-NZ"/>
        </w:rPr>
      </w:pPr>
      <w:r>
        <w:rPr>
          <w:noProof/>
        </w:rPr>
        <w:t>1.7.2</w:t>
      </w:r>
      <w:r>
        <w:rPr>
          <w:rFonts w:asciiTheme="minorHAnsi" w:eastAsiaTheme="minorEastAsia" w:hAnsiTheme="minorHAnsi" w:cstheme="minorBidi"/>
          <w:noProof/>
          <w:szCs w:val="22"/>
          <w:lang w:eastAsia="en-NZ"/>
        </w:rPr>
        <w:tab/>
      </w:r>
      <w:r>
        <w:rPr>
          <w:noProof/>
        </w:rPr>
        <w:t>Drinking-water quality in shipping</w:t>
      </w:r>
      <w:r>
        <w:rPr>
          <w:noProof/>
        </w:rPr>
        <w:tab/>
      </w:r>
      <w:r>
        <w:rPr>
          <w:noProof/>
        </w:rPr>
        <w:fldChar w:fldCharType="begin"/>
      </w:r>
      <w:r>
        <w:rPr>
          <w:noProof/>
        </w:rPr>
        <w:instrText xml:space="preserve"> PAGEREF _Toc8979348 \h </w:instrText>
      </w:r>
      <w:r>
        <w:rPr>
          <w:noProof/>
        </w:rPr>
      </w:r>
      <w:r>
        <w:rPr>
          <w:noProof/>
        </w:rPr>
        <w:fldChar w:fldCharType="separate"/>
      </w:r>
      <w:r w:rsidR="00BC7B71">
        <w:rPr>
          <w:noProof/>
        </w:rPr>
        <w:t>47</w:t>
      </w:r>
      <w:r>
        <w:rPr>
          <w:noProof/>
        </w:rPr>
        <w:fldChar w:fldCharType="end"/>
      </w:r>
    </w:p>
    <w:p w14:paraId="041E2E05" w14:textId="77777777" w:rsidR="00CB0864" w:rsidRDefault="00CB0864">
      <w:pPr>
        <w:pStyle w:val="TOC1"/>
        <w:rPr>
          <w:rFonts w:asciiTheme="minorHAnsi" w:eastAsiaTheme="minorEastAsia" w:hAnsiTheme="minorHAnsi" w:cstheme="minorBidi"/>
          <w:noProof/>
          <w:sz w:val="22"/>
          <w:szCs w:val="22"/>
          <w:lang w:eastAsia="en-NZ"/>
        </w:rPr>
      </w:pPr>
      <w:r>
        <w:rPr>
          <w:noProof/>
        </w:rPr>
        <w:t>1.8</w:t>
      </w:r>
      <w:r>
        <w:rPr>
          <w:rFonts w:asciiTheme="minorHAnsi" w:eastAsiaTheme="minorEastAsia" w:hAnsiTheme="minorHAnsi" w:cstheme="minorBidi"/>
          <w:noProof/>
          <w:sz w:val="22"/>
          <w:szCs w:val="22"/>
          <w:lang w:eastAsia="en-NZ"/>
        </w:rPr>
        <w:tab/>
      </w:r>
      <w:r>
        <w:rPr>
          <w:noProof/>
        </w:rPr>
        <w:t>Emergency supplies and emergencies</w:t>
      </w:r>
      <w:r>
        <w:rPr>
          <w:noProof/>
        </w:rPr>
        <w:tab/>
      </w:r>
      <w:r>
        <w:rPr>
          <w:noProof/>
        </w:rPr>
        <w:fldChar w:fldCharType="begin"/>
      </w:r>
      <w:r>
        <w:rPr>
          <w:noProof/>
        </w:rPr>
        <w:instrText xml:space="preserve"> PAGEREF _Toc8979349 \h </w:instrText>
      </w:r>
      <w:r>
        <w:rPr>
          <w:noProof/>
        </w:rPr>
      </w:r>
      <w:r>
        <w:rPr>
          <w:noProof/>
        </w:rPr>
        <w:fldChar w:fldCharType="separate"/>
      </w:r>
      <w:r w:rsidR="00BC7B71">
        <w:rPr>
          <w:noProof/>
        </w:rPr>
        <w:t>48</w:t>
      </w:r>
      <w:r>
        <w:rPr>
          <w:noProof/>
        </w:rPr>
        <w:fldChar w:fldCharType="end"/>
      </w:r>
    </w:p>
    <w:p w14:paraId="041E2E06" w14:textId="77777777" w:rsidR="00CB0864" w:rsidRDefault="00CB0864" w:rsidP="00CB0864">
      <w:pPr>
        <w:pStyle w:val="TOC1"/>
        <w:ind w:left="0" w:firstLine="0"/>
        <w:rPr>
          <w:rFonts w:asciiTheme="minorHAnsi" w:eastAsiaTheme="minorEastAsia" w:hAnsiTheme="minorHAnsi" w:cstheme="minorBidi"/>
          <w:noProof/>
          <w:sz w:val="22"/>
          <w:szCs w:val="22"/>
          <w:lang w:eastAsia="en-NZ"/>
        </w:rPr>
      </w:pPr>
      <w:r>
        <w:rPr>
          <w:noProof/>
        </w:rPr>
        <w:t>Appendix 1: Statistical issues that relate to the Drinking-water Standards of New Zealand</w:t>
      </w:r>
      <w:r>
        <w:rPr>
          <w:noProof/>
        </w:rPr>
        <w:tab/>
      </w:r>
      <w:r>
        <w:rPr>
          <w:noProof/>
        </w:rPr>
        <w:fldChar w:fldCharType="begin"/>
      </w:r>
      <w:r>
        <w:rPr>
          <w:noProof/>
        </w:rPr>
        <w:instrText xml:space="preserve"> PAGEREF _Toc8979350 \h </w:instrText>
      </w:r>
      <w:r>
        <w:rPr>
          <w:noProof/>
        </w:rPr>
      </w:r>
      <w:r>
        <w:rPr>
          <w:noProof/>
        </w:rPr>
        <w:fldChar w:fldCharType="separate"/>
      </w:r>
      <w:r w:rsidR="00BC7B71">
        <w:rPr>
          <w:noProof/>
        </w:rPr>
        <w:t>49</w:t>
      </w:r>
      <w:r>
        <w:rPr>
          <w:noProof/>
        </w:rPr>
        <w:fldChar w:fldCharType="end"/>
      </w:r>
    </w:p>
    <w:p w14:paraId="041E2E07" w14:textId="77777777" w:rsidR="00CB0864" w:rsidRDefault="00CB0864">
      <w:pPr>
        <w:pStyle w:val="TOC2"/>
        <w:rPr>
          <w:rFonts w:asciiTheme="minorHAnsi" w:eastAsiaTheme="minorEastAsia" w:hAnsiTheme="minorHAnsi" w:cstheme="minorBidi"/>
          <w:noProof/>
          <w:szCs w:val="22"/>
          <w:lang w:eastAsia="en-NZ"/>
        </w:rPr>
      </w:pPr>
      <w:r>
        <w:rPr>
          <w:noProof/>
        </w:rPr>
        <w:t>A1</w:t>
      </w:r>
      <w:r>
        <w:rPr>
          <w:rFonts w:asciiTheme="minorHAnsi" w:eastAsiaTheme="minorEastAsia" w:hAnsiTheme="minorHAnsi" w:cstheme="minorBidi"/>
          <w:noProof/>
          <w:szCs w:val="22"/>
          <w:lang w:eastAsia="en-NZ"/>
        </w:rPr>
        <w:tab/>
      </w:r>
      <w:r>
        <w:rPr>
          <w:noProof/>
        </w:rPr>
        <w:t>Compliance rules for percentile standards</w:t>
      </w:r>
      <w:r>
        <w:rPr>
          <w:noProof/>
        </w:rPr>
        <w:tab/>
      </w:r>
      <w:r>
        <w:rPr>
          <w:noProof/>
        </w:rPr>
        <w:fldChar w:fldCharType="begin"/>
      </w:r>
      <w:r>
        <w:rPr>
          <w:noProof/>
        </w:rPr>
        <w:instrText xml:space="preserve"> PAGEREF _Toc8979351 \h </w:instrText>
      </w:r>
      <w:r>
        <w:rPr>
          <w:noProof/>
        </w:rPr>
      </w:r>
      <w:r>
        <w:rPr>
          <w:noProof/>
        </w:rPr>
        <w:fldChar w:fldCharType="separate"/>
      </w:r>
      <w:r w:rsidR="00BC7B71">
        <w:rPr>
          <w:noProof/>
        </w:rPr>
        <w:t>50</w:t>
      </w:r>
      <w:r>
        <w:rPr>
          <w:noProof/>
        </w:rPr>
        <w:fldChar w:fldCharType="end"/>
      </w:r>
    </w:p>
    <w:p w14:paraId="041E2E08" w14:textId="77777777" w:rsidR="00CB0864" w:rsidRDefault="00CB0864">
      <w:pPr>
        <w:pStyle w:val="TOC2"/>
        <w:rPr>
          <w:rFonts w:asciiTheme="minorHAnsi" w:eastAsiaTheme="minorEastAsia" w:hAnsiTheme="minorHAnsi" w:cstheme="minorBidi"/>
          <w:noProof/>
          <w:szCs w:val="22"/>
          <w:lang w:eastAsia="en-NZ"/>
        </w:rPr>
      </w:pPr>
      <w:r>
        <w:rPr>
          <w:noProof/>
        </w:rPr>
        <w:t>A2</w:t>
      </w:r>
      <w:r>
        <w:rPr>
          <w:rFonts w:asciiTheme="minorHAnsi" w:eastAsiaTheme="minorEastAsia" w:hAnsiTheme="minorHAnsi" w:cstheme="minorBidi"/>
          <w:noProof/>
          <w:szCs w:val="22"/>
          <w:lang w:eastAsia="en-NZ"/>
        </w:rPr>
        <w:tab/>
      </w:r>
      <w:r>
        <w:rPr>
          <w:noProof/>
        </w:rPr>
        <w:t>Handling non-detects</w:t>
      </w:r>
      <w:r>
        <w:rPr>
          <w:noProof/>
        </w:rPr>
        <w:tab/>
      </w:r>
      <w:r>
        <w:rPr>
          <w:noProof/>
        </w:rPr>
        <w:fldChar w:fldCharType="begin"/>
      </w:r>
      <w:r>
        <w:rPr>
          <w:noProof/>
        </w:rPr>
        <w:instrText xml:space="preserve"> PAGEREF _Toc8979352 \h </w:instrText>
      </w:r>
      <w:r>
        <w:rPr>
          <w:noProof/>
        </w:rPr>
      </w:r>
      <w:r>
        <w:rPr>
          <w:noProof/>
        </w:rPr>
        <w:fldChar w:fldCharType="separate"/>
      </w:r>
      <w:r w:rsidR="00BC7B71">
        <w:rPr>
          <w:noProof/>
        </w:rPr>
        <w:t>56</w:t>
      </w:r>
      <w:r>
        <w:rPr>
          <w:noProof/>
        </w:rPr>
        <w:fldChar w:fldCharType="end"/>
      </w:r>
    </w:p>
    <w:p w14:paraId="041E2E09" w14:textId="77777777" w:rsidR="00CB0864" w:rsidRDefault="00CB0864">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_Toc8979353 \h </w:instrText>
      </w:r>
      <w:r>
        <w:rPr>
          <w:noProof/>
        </w:rPr>
      </w:r>
      <w:r>
        <w:rPr>
          <w:noProof/>
        </w:rPr>
        <w:fldChar w:fldCharType="separate"/>
      </w:r>
      <w:r w:rsidR="00BC7B71">
        <w:rPr>
          <w:noProof/>
        </w:rPr>
        <w:t>58</w:t>
      </w:r>
      <w:r>
        <w:rPr>
          <w:noProof/>
        </w:rPr>
        <w:fldChar w:fldCharType="end"/>
      </w:r>
    </w:p>
    <w:p w14:paraId="041E2E0A" w14:textId="77777777" w:rsidR="003741ED" w:rsidRDefault="00CB0864" w:rsidP="003741ED">
      <w:r>
        <w:rPr>
          <w:rFonts w:ascii="Segoe UI Semibold" w:hAnsi="Segoe UI Semibold"/>
          <w:b/>
          <w:sz w:val="24"/>
        </w:rPr>
        <w:fldChar w:fldCharType="end"/>
      </w:r>
    </w:p>
    <w:p w14:paraId="041E2E0B" w14:textId="77777777" w:rsidR="003741ED" w:rsidRDefault="003741ED" w:rsidP="00CB0864">
      <w:pPr>
        <w:pStyle w:val="TOC1"/>
        <w:keepNext/>
      </w:pPr>
      <w:r>
        <w:t>List of tables</w:t>
      </w:r>
    </w:p>
    <w:p w14:paraId="041E2E0C" w14:textId="77777777" w:rsidR="00CB0864" w:rsidRDefault="00CB0864" w:rsidP="00CB0864">
      <w:pPr>
        <w:pStyle w:val="TOC3"/>
        <w:keepNext/>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Pr>
          <w:noProof/>
        </w:rPr>
        <w:t>Table 1.1:</w:t>
      </w:r>
      <w:r>
        <w:rPr>
          <w:noProof/>
        </w:rPr>
        <w:tab/>
        <w:t>Numbers and rates of notifiable diseases with waterborne transmission potential, 2004–2013</w:t>
      </w:r>
      <w:r>
        <w:rPr>
          <w:noProof/>
        </w:rPr>
        <w:tab/>
      </w:r>
      <w:r>
        <w:rPr>
          <w:noProof/>
        </w:rPr>
        <w:fldChar w:fldCharType="begin"/>
      </w:r>
      <w:r>
        <w:rPr>
          <w:noProof/>
        </w:rPr>
        <w:instrText xml:space="preserve"> PAGEREF _Toc8979354 \h </w:instrText>
      </w:r>
      <w:r>
        <w:rPr>
          <w:noProof/>
        </w:rPr>
      </w:r>
      <w:r>
        <w:rPr>
          <w:noProof/>
        </w:rPr>
        <w:fldChar w:fldCharType="separate"/>
      </w:r>
      <w:r w:rsidR="00BC7B71">
        <w:rPr>
          <w:noProof/>
        </w:rPr>
        <w:t>9</w:t>
      </w:r>
      <w:r>
        <w:rPr>
          <w:noProof/>
        </w:rPr>
        <w:fldChar w:fldCharType="end"/>
      </w:r>
    </w:p>
    <w:p w14:paraId="041E2E0D" w14:textId="77777777" w:rsidR="00CB0864" w:rsidRDefault="00CB0864" w:rsidP="00CB0864">
      <w:pPr>
        <w:pStyle w:val="TOC3"/>
        <w:keepNext/>
        <w:rPr>
          <w:rFonts w:asciiTheme="minorHAnsi" w:eastAsiaTheme="minorEastAsia" w:hAnsiTheme="minorHAnsi" w:cstheme="minorBidi"/>
          <w:noProof/>
          <w:sz w:val="22"/>
          <w:szCs w:val="22"/>
          <w:lang w:eastAsia="en-NZ"/>
        </w:rPr>
      </w:pPr>
      <w:r>
        <w:rPr>
          <w:noProof/>
        </w:rPr>
        <w:t>Table 1.2:</w:t>
      </w:r>
      <w:r>
        <w:rPr>
          <w:noProof/>
        </w:rPr>
        <w:tab/>
        <w:t>Number of outbreaks and associated cases recorded for enteric disease and waterborne enteric disease, 2004–2013</w:t>
      </w:r>
      <w:r>
        <w:rPr>
          <w:noProof/>
        </w:rPr>
        <w:tab/>
      </w:r>
      <w:r>
        <w:rPr>
          <w:noProof/>
        </w:rPr>
        <w:fldChar w:fldCharType="begin"/>
      </w:r>
      <w:r>
        <w:rPr>
          <w:noProof/>
        </w:rPr>
        <w:instrText xml:space="preserve"> PAGEREF _Toc8979355 \h </w:instrText>
      </w:r>
      <w:r>
        <w:rPr>
          <w:noProof/>
        </w:rPr>
      </w:r>
      <w:r>
        <w:rPr>
          <w:noProof/>
        </w:rPr>
        <w:fldChar w:fldCharType="separate"/>
      </w:r>
      <w:r w:rsidR="00BC7B71">
        <w:rPr>
          <w:noProof/>
        </w:rPr>
        <w:t>10</w:t>
      </w:r>
      <w:r>
        <w:rPr>
          <w:noProof/>
        </w:rPr>
        <w:fldChar w:fldCharType="end"/>
      </w:r>
    </w:p>
    <w:p w14:paraId="041E2E0E" w14:textId="77777777" w:rsidR="00CB0864" w:rsidRDefault="00CB0864">
      <w:pPr>
        <w:pStyle w:val="TOC3"/>
        <w:rPr>
          <w:rFonts w:asciiTheme="minorHAnsi" w:eastAsiaTheme="minorEastAsia" w:hAnsiTheme="minorHAnsi" w:cstheme="minorBidi"/>
          <w:noProof/>
          <w:sz w:val="22"/>
          <w:szCs w:val="22"/>
          <w:lang w:eastAsia="en-NZ"/>
        </w:rPr>
      </w:pPr>
      <w:r>
        <w:rPr>
          <w:noProof/>
        </w:rPr>
        <w:t>Table 1.3:</w:t>
      </w:r>
      <w:r>
        <w:rPr>
          <w:noProof/>
        </w:rPr>
        <w:tab/>
        <w:t>Documented waterborne outbreaks in New Zealand, with probable links to drinking water, 2005–2016</w:t>
      </w:r>
      <w:r>
        <w:rPr>
          <w:noProof/>
        </w:rPr>
        <w:tab/>
      </w:r>
      <w:r>
        <w:rPr>
          <w:noProof/>
        </w:rPr>
        <w:fldChar w:fldCharType="begin"/>
      </w:r>
      <w:r>
        <w:rPr>
          <w:noProof/>
        </w:rPr>
        <w:instrText xml:space="preserve"> PAGEREF _Toc8979356 \h </w:instrText>
      </w:r>
      <w:r>
        <w:rPr>
          <w:noProof/>
        </w:rPr>
      </w:r>
      <w:r>
        <w:rPr>
          <w:noProof/>
        </w:rPr>
        <w:fldChar w:fldCharType="separate"/>
      </w:r>
      <w:r w:rsidR="00BC7B71">
        <w:rPr>
          <w:noProof/>
        </w:rPr>
        <w:t>11</w:t>
      </w:r>
      <w:r>
        <w:rPr>
          <w:noProof/>
        </w:rPr>
        <w:fldChar w:fldCharType="end"/>
      </w:r>
    </w:p>
    <w:p w14:paraId="041E2E0F" w14:textId="77777777" w:rsidR="00CB0864" w:rsidRDefault="00CB0864">
      <w:pPr>
        <w:pStyle w:val="TOC3"/>
        <w:rPr>
          <w:rFonts w:asciiTheme="minorHAnsi" w:eastAsiaTheme="minorEastAsia" w:hAnsiTheme="minorHAnsi" w:cstheme="minorBidi"/>
          <w:noProof/>
          <w:sz w:val="22"/>
          <w:szCs w:val="22"/>
          <w:lang w:eastAsia="en-NZ"/>
        </w:rPr>
      </w:pPr>
      <w:r>
        <w:rPr>
          <w:noProof/>
        </w:rPr>
        <w:t>Table 1.4:</w:t>
      </w:r>
      <w:r>
        <w:rPr>
          <w:noProof/>
        </w:rPr>
        <w:tab/>
        <w:t>Economic benefits arising from water and sanitation improvements</w:t>
      </w:r>
      <w:r>
        <w:rPr>
          <w:noProof/>
        </w:rPr>
        <w:tab/>
      </w:r>
      <w:r>
        <w:rPr>
          <w:noProof/>
        </w:rPr>
        <w:fldChar w:fldCharType="begin"/>
      </w:r>
      <w:r>
        <w:rPr>
          <w:noProof/>
        </w:rPr>
        <w:instrText xml:space="preserve"> PAGEREF _Toc8979357 \h </w:instrText>
      </w:r>
      <w:r>
        <w:rPr>
          <w:noProof/>
        </w:rPr>
      </w:r>
      <w:r>
        <w:rPr>
          <w:noProof/>
        </w:rPr>
        <w:fldChar w:fldCharType="separate"/>
      </w:r>
      <w:r w:rsidR="00BC7B71">
        <w:rPr>
          <w:noProof/>
        </w:rPr>
        <w:t>15</w:t>
      </w:r>
      <w:r>
        <w:rPr>
          <w:noProof/>
        </w:rPr>
        <w:fldChar w:fldCharType="end"/>
      </w:r>
    </w:p>
    <w:p w14:paraId="041E2E10" w14:textId="77777777" w:rsidR="00CB0864" w:rsidRDefault="00CB0864">
      <w:pPr>
        <w:pStyle w:val="TOC3"/>
        <w:rPr>
          <w:rFonts w:asciiTheme="minorHAnsi" w:eastAsiaTheme="minorEastAsia" w:hAnsiTheme="minorHAnsi" w:cstheme="minorBidi"/>
          <w:noProof/>
          <w:sz w:val="22"/>
          <w:szCs w:val="22"/>
          <w:lang w:eastAsia="en-NZ"/>
        </w:rPr>
      </w:pPr>
      <w:r>
        <w:rPr>
          <w:noProof/>
        </w:rPr>
        <w:t>Table 1.5:</w:t>
      </w:r>
      <w:r>
        <w:rPr>
          <w:noProof/>
        </w:rPr>
        <w:tab/>
        <w:t>Examples of priority allocation in the DWSNZ</w:t>
      </w:r>
      <w:r>
        <w:rPr>
          <w:noProof/>
        </w:rPr>
        <w:tab/>
      </w:r>
      <w:r>
        <w:rPr>
          <w:noProof/>
        </w:rPr>
        <w:fldChar w:fldCharType="begin"/>
      </w:r>
      <w:r>
        <w:rPr>
          <w:noProof/>
        </w:rPr>
        <w:instrText xml:space="preserve"> PAGEREF _Toc8979358 \h </w:instrText>
      </w:r>
      <w:r>
        <w:rPr>
          <w:noProof/>
        </w:rPr>
      </w:r>
      <w:r>
        <w:rPr>
          <w:noProof/>
        </w:rPr>
        <w:fldChar w:fldCharType="separate"/>
      </w:r>
      <w:r w:rsidR="00BC7B71">
        <w:rPr>
          <w:noProof/>
        </w:rPr>
        <w:t>43</w:t>
      </w:r>
      <w:r>
        <w:rPr>
          <w:noProof/>
        </w:rPr>
        <w:fldChar w:fldCharType="end"/>
      </w:r>
    </w:p>
    <w:p w14:paraId="041E2E11" w14:textId="77777777" w:rsidR="00CB0864" w:rsidRDefault="00CB0864">
      <w:pPr>
        <w:pStyle w:val="TOC3"/>
        <w:rPr>
          <w:rFonts w:asciiTheme="minorHAnsi" w:eastAsiaTheme="minorEastAsia" w:hAnsiTheme="minorHAnsi" w:cstheme="minorBidi"/>
          <w:noProof/>
          <w:sz w:val="22"/>
          <w:szCs w:val="22"/>
          <w:lang w:eastAsia="en-NZ"/>
        </w:rPr>
      </w:pPr>
      <w:r>
        <w:rPr>
          <w:noProof/>
        </w:rPr>
        <w:t>Table A1.1:</w:t>
      </w:r>
      <w:r>
        <w:rPr>
          <w:noProof/>
        </w:rPr>
        <w:tab/>
        <w:t>Numbers of samples and allowable transgressions needed to keep maximum risks below 5 percent when assessing compliance with a 95th percentile standard</w:t>
      </w:r>
      <w:r>
        <w:rPr>
          <w:noProof/>
        </w:rPr>
        <w:tab/>
      </w:r>
      <w:r>
        <w:rPr>
          <w:noProof/>
        </w:rPr>
        <w:fldChar w:fldCharType="begin"/>
      </w:r>
      <w:r>
        <w:rPr>
          <w:noProof/>
        </w:rPr>
        <w:instrText xml:space="preserve"> PAGEREF _Toc8979359 \h </w:instrText>
      </w:r>
      <w:r>
        <w:rPr>
          <w:noProof/>
        </w:rPr>
      </w:r>
      <w:r>
        <w:rPr>
          <w:noProof/>
        </w:rPr>
        <w:fldChar w:fldCharType="separate"/>
      </w:r>
      <w:r w:rsidR="00BC7B71">
        <w:rPr>
          <w:noProof/>
        </w:rPr>
        <w:t>51</w:t>
      </w:r>
      <w:r>
        <w:rPr>
          <w:noProof/>
        </w:rPr>
        <w:fldChar w:fldCharType="end"/>
      </w:r>
    </w:p>
    <w:p w14:paraId="041E2E12" w14:textId="77777777" w:rsidR="00CB0864" w:rsidRDefault="00CB0864">
      <w:pPr>
        <w:pStyle w:val="TOC3"/>
        <w:rPr>
          <w:rFonts w:asciiTheme="minorHAnsi" w:eastAsiaTheme="minorEastAsia" w:hAnsiTheme="minorHAnsi" w:cstheme="minorBidi"/>
          <w:noProof/>
          <w:sz w:val="22"/>
          <w:szCs w:val="22"/>
          <w:lang w:eastAsia="en-NZ"/>
        </w:rPr>
      </w:pPr>
      <w:r>
        <w:rPr>
          <w:noProof/>
        </w:rPr>
        <w:t>Table A1.2:</w:t>
      </w:r>
      <w:r>
        <w:rPr>
          <w:noProof/>
        </w:rPr>
        <w:tab/>
        <w:t>Allowable exceedances (for 95 percent conﬁdence that the MAV is exceeded for no more than 5 percent of the time)</w:t>
      </w:r>
      <w:r>
        <w:rPr>
          <w:noProof/>
        </w:rPr>
        <w:tab/>
      </w:r>
      <w:r>
        <w:rPr>
          <w:noProof/>
        </w:rPr>
        <w:fldChar w:fldCharType="begin"/>
      </w:r>
      <w:r>
        <w:rPr>
          <w:noProof/>
        </w:rPr>
        <w:instrText xml:space="preserve"> PAGEREF _Toc8979360 \h </w:instrText>
      </w:r>
      <w:r>
        <w:rPr>
          <w:noProof/>
        </w:rPr>
      </w:r>
      <w:r>
        <w:rPr>
          <w:noProof/>
        </w:rPr>
        <w:fldChar w:fldCharType="separate"/>
      </w:r>
      <w:r w:rsidR="00BC7B71">
        <w:rPr>
          <w:noProof/>
        </w:rPr>
        <w:t>55</w:t>
      </w:r>
      <w:r>
        <w:rPr>
          <w:noProof/>
        </w:rPr>
        <w:fldChar w:fldCharType="end"/>
      </w:r>
    </w:p>
    <w:p w14:paraId="041E2E13" w14:textId="77777777" w:rsidR="003741ED" w:rsidRDefault="00CB0864" w:rsidP="003741ED">
      <w:pPr>
        <w:pStyle w:val="TOC3"/>
      </w:pPr>
      <w:r>
        <w:rPr>
          <w:lang w:eastAsia="en-US"/>
        </w:rPr>
        <w:fldChar w:fldCharType="end"/>
      </w:r>
    </w:p>
    <w:p w14:paraId="041E2E14" w14:textId="77777777" w:rsidR="003741ED" w:rsidRDefault="003741ED" w:rsidP="003741ED">
      <w:pPr>
        <w:pStyle w:val="TOC1"/>
      </w:pPr>
      <w:r>
        <w:t>List of figures</w:t>
      </w:r>
    </w:p>
    <w:p w14:paraId="041E2E15" w14:textId="77777777" w:rsidR="00CB0864"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Pr>
          <w:noProof/>
        </w:rPr>
        <w:t>Figure 1.1:</w:t>
      </w:r>
      <w:r>
        <w:rPr>
          <w:noProof/>
        </w:rPr>
        <w:tab/>
        <w:t>Epidemic versus endemic/sporadic disease</w:t>
      </w:r>
      <w:r>
        <w:rPr>
          <w:noProof/>
        </w:rPr>
        <w:tab/>
      </w:r>
      <w:r>
        <w:rPr>
          <w:noProof/>
        </w:rPr>
        <w:fldChar w:fldCharType="begin"/>
      </w:r>
      <w:r>
        <w:rPr>
          <w:noProof/>
        </w:rPr>
        <w:instrText xml:space="preserve"> PAGEREF _Toc8979361 \h </w:instrText>
      </w:r>
      <w:r>
        <w:rPr>
          <w:noProof/>
        </w:rPr>
      </w:r>
      <w:r>
        <w:rPr>
          <w:noProof/>
        </w:rPr>
        <w:fldChar w:fldCharType="separate"/>
      </w:r>
      <w:r w:rsidR="00BC7B71">
        <w:rPr>
          <w:noProof/>
        </w:rPr>
        <w:t>12</w:t>
      </w:r>
      <w:r>
        <w:rPr>
          <w:noProof/>
        </w:rPr>
        <w:fldChar w:fldCharType="end"/>
      </w:r>
    </w:p>
    <w:p w14:paraId="041E2E16" w14:textId="77777777" w:rsidR="00CB0864" w:rsidRDefault="00CB0864">
      <w:pPr>
        <w:pStyle w:val="TOC3"/>
        <w:rPr>
          <w:rFonts w:asciiTheme="minorHAnsi" w:eastAsiaTheme="minorEastAsia" w:hAnsiTheme="minorHAnsi" w:cstheme="minorBidi"/>
          <w:noProof/>
          <w:sz w:val="22"/>
          <w:szCs w:val="22"/>
          <w:lang w:eastAsia="en-NZ"/>
        </w:rPr>
      </w:pPr>
      <w:r>
        <w:rPr>
          <w:noProof/>
        </w:rPr>
        <w:t>Figure A1:</w:t>
      </w:r>
      <w:r>
        <w:rPr>
          <w:noProof/>
        </w:rPr>
        <w:tab/>
        <w:t>Bayesian confidence of compliance curves for a 95th percentile standard, using Jeffreys’ uninformative</w:t>
      </w:r>
      <w:r>
        <w:rPr>
          <w:noProof/>
        </w:rPr>
        <w:tab/>
      </w:r>
      <w:r>
        <w:rPr>
          <w:noProof/>
        </w:rPr>
        <w:fldChar w:fldCharType="begin"/>
      </w:r>
      <w:r>
        <w:rPr>
          <w:noProof/>
        </w:rPr>
        <w:instrText xml:space="preserve"> PAGEREF _Toc8979362 \h </w:instrText>
      </w:r>
      <w:r>
        <w:rPr>
          <w:noProof/>
        </w:rPr>
      </w:r>
      <w:r>
        <w:rPr>
          <w:noProof/>
        </w:rPr>
        <w:fldChar w:fldCharType="separate"/>
      </w:r>
      <w:r w:rsidR="00BC7B71">
        <w:rPr>
          <w:noProof/>
        </w:rPr>
        <w:t>52</w:t>
      </w:r>
      <w:r>
        <w:rPr>
          <w:noProof/>
        </w:rPr>
        <w:fldChar w:fldCharType="end"/>
      </w:r>
    </w:p>
    <w:p w14:paraId="041E2E17" w14:textId="77777777" w:rsidR="00CB0864" w:rsidRDefault="00CB0864">
      <w:pPr>
        <w:pStyle w:val="TOC3"/>
        <w:rPr>
          <w:rFonts w:asciiTheme="minorHAnsi" w:eastAsiaTheme="minorEastAsia" w:hAnsiTheme="minorHAnsi" w:cstheme="minorBidi"/>
          <w:noProof/>
          <w:sz w:val="22"/>
          <w:szCs w:val="22"/>
          <w:lang w:eastAsia="en-NZ"/>
        </w:rPr>
      </w:pPr>
      <w:r>
        <w:rPr>
          <w:noProof/>
        </w:rPr>
        <w:t>Figure A2:</w:t>
      </w:r>
      <w:r>
        <w:rPr>
          <w:noProof/>
        </w:rPr>
        <w:tab/>
        <w:t>Fitting a lognormal distribution to &gt;L data (where L = 5), and extrapolating back to obtain values of &lt;L data</w:t>
      </w:r>
      <w:r>
        <w:rPr>
          <w:noProof/>
        </w:rPr>
        <w:tab/>
      </w:r>
      <w:r>
        <w:rPr>
          <w:noProof/>
        </w:rPr>
        <w:fldChar w:fldCharType="begin"/>
      </w:r>
      <w:r>
        <w:rPr>
          <w:noProof/>
        </w:rPr>
        <w:instrText xml:space="preserve"> PAGEREF _Toc8979363 \h </w:instrText>
      </w:r>
      <w:r>
        <w:rPr>
          <w:noProof/>
        </w:rPr>
      </w:r>
      <w:r>
        <w:rPr>
          <w:noProof/>
        </w:rPr>
        <w:fldChar w:fldCharType="separate"/>
      </w:r>
      <w:r w:rsidR="00BC7B71">
        <w:rPr>
          <w:noProof/>
        </w:rPr>
        <w:t>57</w:t>
      </w:r>
      <w:r>
        <w:rPr>
          <w:noProof/>
        </w:rPr>
        <w:fldChar w:fldCharType="end"/>
      </w:r>
    </w:p>
    <w:p w14:paraId="041E2E18" w14:textId="77777777" w:rsidR="003741ED" w:rsidRDefault="00CB0864" w:rsidP="003741ED">
      <w:pPr>
        <w:pStyle w:val="TOC4"/>
      </w:pPr>
      <w:r>
        <w:rPr>
          <w:rFonts w:cs="Arial"/>
          <w:noProof/>
        </w:rPr>
        <w:fldChar w:fldCharType="end"/>
      </w:r>
    </w:p>
    <w:p w14:paraId="041E2E19" w14:textId="77777777" w:rsidR="003741ED" w:rsidRPr="00320B23" w:rsidRDefault="003741ED" w:rsidP="003741ED">
      <w:pPr>
        <w:pStyle w:val="Heading2"/>
      </w:pPr>
      <w:bookmarkStart w:id="3" w:name="_Toc362013170"/>
      <w:bookmarkStart w:id="4" w:name="_Toc364704276"/>
      <w:bookmarkStart w:id="5" w:name="_Toc485635037"/>
      <w:bookmarkStart w:id="6" w:name="_Toc2333414"/>
      <w:bookmarkStart w:id="7" w:name="_Toc8979299"/>
      <w:r w:rsidRPr="00320B23">
        <w:t>I</w:t>
      </w:r>
      <w:r>
        <w:t>ntroduction</w:t>
      </w:r>
      <w:bookmarkEnd w:id="3"/>
      <w:bookmarkEnd w:id="4"/>
      <w:bookmarkEnd w:id="5"/>
      <w:bookmarkEnd w:id="6"/>
      <w:bookmarkEnd w:id="7"/>
    </w:p>
    <w:p w14:paraId="041E2E1A" w14:textId="77777777" w:rsidR="003741ED" w:rsidRPr="00320B23" w:rsidRDefault="003741ED" w:rsidP="003741ED">
      <w:pPr>
        <w:pStyle w:val="Heading3"/>
      </w:pPr>
      <w:bookmarkStart w:id="8" w:name="_Toc362013171"/>
      <w:bookmarkStart w:id="9" w:name="_Toc364704277"/>
      <w:bookmarkStart w:id="10" w:name="_Toc2333415"/>
      <w:bookmarkStart w:id="11" w:name="_Toc8979300"/>
      <w:r w:rsidRPr="00320B23">
        <w:t>P</w:t>
      </w:r>
      <w:r>
        <w:t>urpose of the guidelines</w:t>
      </w:r>
      <w:bookmarkEnd w:id="8"/>
      <w:bookmarkEnd w:id="9"/>
      <w:bookmarkEnd w:id="10"/>
      <w:bookmarkEnd w:id="11"/>
    </w:p>
    <w:p w14:paraId="041E2E1B" w14:textId="77777777" w:rsidR="003741ED" w:rsidRPr="004740B0" w:rsidRDefault="003741ED" w:rsidP="003741ED">
      <w:r w:rsidRPr="004740B0">
        <w:t>A wide range of gastrointestinal diseases can be caused by ingestion of food or drink that is contaminated by pathogenic micro-organisms or by toxic chemicals. Control of these is an important feature of public health. This is done by regulating food safety, administered by the Ministry of Primary Industries and regulating safety of community drinking-water supplies, administered by the Ministry of Health.</w:t>
      </w:r>
    </w:p>
    <w:p w14:paraId="041E2E1C" w14:textId="77777777" w:rsidR="003741ED" w:rsidRPr="004740B0" w:rsidRDefault="003741ED" w:rsidP="003741ED"/>
    <w:p w14:paraId="041E2E1D" w14:textId="77777777" w:rsidR="003741ED" w:rsidRPr="004740B0" w:rsidRDefault="003741ED" w:rsidP="003741ED">
      <w:r w:rsidRPr="004740B0">
        <w:t xml:space="preserve">The purpose of these </w:t>
      </w:r>
      <w:r w:rsidRPr="00225340">
        <w:rPr>
          <w:i/>
        </w:rPr>
        <w:t>Guidelines for Drinking-water Quality Management for New Zealand</w:t>
      </w:r>
      <w:r w:rsidRPr="004740B0">
        <w:t xml:space="preserve"> is to provide information on the tools used by the Ministry of Health to promote the provision, by suppliers, of drinking-water that is safe to drink. The development of these tools commenced in 1993. This introduction to the </w:t>
      </w:r>
      <w:r w:rsidRPr="00225340">
        <w:rPr>
          <w:i/>
        </w:rPr>
        <w:t>Guidelines</w:t>
      </w:r>
      <w:r w:rsidRPr="004740B0">
        <w:t xml:space="preserve"> puts the Ministry</w:t>
      </w:r>
      <w:r>
        <w:t>’</w:t>
      </w:r>
      <w:r w:rsidRPr="004740B0">
        <w:t>s tools in their historical context.</w:t>
      </w:r>
    </w:p>
    <w:p w14:paraId="041E2E1E" w14:textId="77777777" w:rsidR="003741ED" w:rsidRPr="004740B0" w:rsidRDefault="003741ED" w:rsidP="003741ED"/>
    <w:p w14:paraId="041E2E1F" w14:textId="77777777" w:rsidR="003741ED" w:rsidRPr="00320B23" w:rsidRDefault="003741ED" w:rsidP="003741ED">
      <w:pPr>
        <w:pStyle w:val="Heading3"/>
      </w:pPr>
      <w:bookmarkStart w:id="12" w:name="_Toc362013172"/>
      <w:bookmarkStart w:id="13" w:name="_Toc364704278"/>
      <w:bookmarkStart w:id="14" w:name="_Toc2333416"/>
      <w:bookmarkStart w:id="15" w:name="_Toc8979301"/>
      <w:r w:rsidRPr="00320B23">
        <w:t>B</w:t>
      </w:r>
      <w:r>
        <w:t>ackground</w:t>
      </w:r>
      <w:bookmarkEnd w:id="12"/>
      <w:bookmarkEnd w:id="13"/>
      <w:bookmarkEnd w:id="14"/>
      <w:bookmarkEnd w:id="15"/>
    </w:p>
    <w:p w14:paraId="041E2E20" w14:textId="77777777" w:rsidR="003741ED" w:rsidRPr="00990575" w:rsidRDefault="003741ED" w:rsidP="003741ED">
      <w:r w:rsidRPr="00990575">
        <w:t xml:space="preserve">In 1992 the public health oversight of drinking-water </w:t>
      </w:r>
      <w:r>
        <w:t xml:space="preserve">quality </w:t>
      </w:r>
      <w:r w:rsidRPr="00990575">
        <w:t>management in New Zealand was in disarray after five years of central and local government restructuring and retrenchment.</w:t>
      </w:r>
      <w:r>
        <w:t xml:space="preserve"> </w:t>
      </w:r>
      <w:r w:rsidRPr="00990575">
        <w:t>The (then) Department of Health was receiving little information about the quality of public drinking-water supplies (Taylor 1993a).</w:t>
      </w:r>
      <w:r>
        <w:t xml:space="preserve"> </w:t>
      </w:r>
      <w:r w:rsidRPr="00990575">
        <w:t>However, an independent survey (Ogilvie 1989) had shown that at least 45 to 50 percent of water supplie</w:t>
      </w:r>
      <w:r>
        <w:t>r</w:t>
      </w:r>
      <w:r w:rsidRPr="00990575">
        <w:t>s did not monitor their chlorine dosage satisfactorily, 28</w:t>
      </w:r>
      <w:r>
        <w:t> </w:t>
      </w:r>
      <w:r w:rsidRPr="00990575">
        <w:t xml:space="preserve">percent never tested the bacteriological quality of water after it entered the </w:t>
      </w:r>
      <w:r>
        <w:t>distribution system</w:t>
      </w:r>
      <w:r w:rsidRPr="00990575">
        <w:t>, and another 30 percent tested only four times per year.</w:t>
      </w:r>
      <w:r>
        <w:t xml:space="preserve"> </w:t>
      </w:r>
      <w:r w:rsidRPr="00990575">
        <w:t>Thus, for most of the year, the microbiological quality of the water was unknown.</w:t>
      </w:r>
      <w:r>
        <w:t xml:space="preserve"> </w:t>
      </w:r>
      <w:r w:rsidRPr="00990575">
        <w:t xml:space="preserve">In 1991 bacterial quality was reported for </w:t>
      </w:r>
      <w:r>
        <w:t xml:space="preserve">just </w:t>
      </w:r>
      <w:r w:rsidRPr="009F5C81">
        <w:rPr>
          <w:bCs/>
        </w:rPr>
        <w:t xml:space="preserve">462 </w:t>
      </w:r>
      <w:r w:rsidRPr="00990575">
        <w:t>of the water supplies in N</w:t>
      </w:r>
      <w:r>
        <w:t xml:space="preserve">ew </w:t>
      </w:r>
      <w:r w:rsidRPr="00990575">
        <w:t>Z</w:t>
      </w:r>
      <w:r>
        <w:t>ealand</w:t>
      </w:r>
      <w:r w:rsidRPr="00990575">
        <w:t>.</w:t>
      </w:r>
      <w:r>
        <w:t xml:space="preserve"> </w:t>
      </w:r>
      <w:r w:rsidRPr="00990575">
        <w:t>As the drinking-water management tools came into operation the number of known supplies increased until</w:t>
      </w:r>
      <w:r>
        <w:t>, as</w:t>
      </w:r>
      <w:r w:rsidRPr="00990575">
        <w:t xml:space="preserve"> at </w:t>
      </w:r>
      <w:r>
        <w:t>April 2015,</w:t>
      </w:r>
      <w:r w:rsidRPr="00990575">
        <w:t xml:space="preserve"> </w:t>
      </w:r>
      <w:r>
        <w:t>1,470 </w:t>
      </w:r>
      <w:r w:rsidRPr="00990575">
        <w:t xml:space="preserve">community water supplies were listed on the </w:t>
      </w:r>
      <w:r>
        <w:t>Register of Drinking-water Suppliers for New Zealand</w:t>
      </w:r>
      <w:r w:rsidRPr="00990575">
        <w:t>.</w:t>
      </w:r>
    </w:p>
    <w:p w14:paraId="041E2E21" w14:textId="77777777" w:rsidR="003741ED" w:rsidRPr="00990575" w:rsidRDefault="003741ED" w:rsidP="003741ED"/>
    <w:p w14:paraId="041E2E22" w14:textId="77777777" w:rsidR="003741ED" w:rsidRPr="00990575" w:rsidRDefault="003741ED" w:rsidP="003741ED">
      <w:r w:rsidRPr="00990575">
        <w:t>After the Department of Health was restructured into the Ministry of Health in 1993, an initial appraisal of the public health safety management of the drinking-water industry was carried out (Taylor 1993a, 1993b).</w:t>
      </w:r>
      <w:r>
        <w:t xml:space="preserve"> </w:t>
      </w:r>
      <w:r w:rsidRPr="00990575">
        <w:t>The opportunity was taken to review and restructure the process of public health management of drinking-water.</w:t>
      </w:r>
      <w:r>
        <w:t xml:space="preserve"> </w:t>
      </w:r>
      <w:r w:rsidRPr="00990575">
        <w:t>There were also a number of major governance and structural issues surrounding the management of the water resources and the water industry that might have benefited from review, but responsibility for these lay outside the health portfolio.</w:t>
      </w:r>
      <w:r>
        <w:t xml:space="preserve"> </w:t>
      </w:r>
      <w:r w:rsidRPr="00990575">
        <w:t>Therefore the Ministry of Health concentrated on the public health infrastructure, although it has contributed where possible to various governance and structural reviews on related topics carried out by other agencies.</w:t>
      </w:r>
    </w:p>
    <w:p w14:paraId="041E2E23" w14:textId="77777777" w:rsidR="003741ED" w:rsidRPr="00990575" w:rsidRDefault="003741ED" w:rsidP="003741ED"/>
    <w:p w14:paraId="041E2E24" w14:textId="77777777" w:rsidR="003741ED" w:rsidRPr="004740B0" w:rsidRDefault="003741ED" w:rsidP="003741ED">
      <w:r w:rsidRPr="004740B0">
        <w:t>It soon became evident that there were a large number of small supplies about which little or nothing was known, even though the larger municipal supplies were generally well-managed and safe, there were some whose standards were not as good as could be desired.</w:t>
      </w:r>
    </w:p>
    <w:p w14:paraId="041E2E25" w14:textId="77777777" w:rsidR="003741ED" w:rsidRPr="004740B0" w:rsidRDefault="003741ED" w:rsidP="003741ED"/>
    <w:p w14:paraId="041E2E26" w14:textId="77777777" w:rsidR="003741ED" w:rsidRPr="004740B0" w:rsidRDefault="003741ED" w:rsidP="003741ED">
      <w:r w:rsidRPr="004740B0">
        <w:t xml:space="preserve">The Ministry of Health is responsible for the regulation of public health under the Health Act 1956 and subsequent amendments. This includes overview of drinking-water supplies to ensure that the water from these supplies can be drunk without causing illness. A </w:t>
      </w:r>
      <w:r>
        <w:t>potable</w:t>
      </w:r>
      <w:r w:rsidRPr="004740B0">
        <w:t xml:space="preserve"> drinking-water supply is a fundamental pre-requisite of public health.</w:t>
      </w:r>
    </w:p>
    <w:p w14:paraId="041E2E27" w14:textId="77777777" w:rsidR="003741ED" w:rsidRPr="004740B0" w:rsidRDefault="003741ED" w:rsidP="003741ED"/>
    <w:p w14:paraId="041E2E28" w14:textId="77777777" w:rsidR="003741ED" w:rsidRPr="004740B0" w:rsidRDefault="003741ED" w:rsidP="003741ED">
      <w:r w:rsidRPr="004740B0">
        <w:t xml:space="preserve">In 1993 the World Health Organization (WHO) published the second edition of its </w:t>
      </w:r>
      <w:r w:rsidRPr="004740B0">
        <w:rPr>
          <w:i/>
          <w:iCs/>
        </w:rPr>
        <w:t>Guidelines for Drinking-water Quality</w:t>
      </w:r>
      <w:r w:rsidRPr="004740B0">
        <w:t xml:space="preserve"> which updated the information on drinking-water quality requirements from the first (1983) edition. The Ministry of Health used the information in the WHO Guidelines, and the knowledge of deficiencies in the public health management of drinking-water that it had gained from its own review in N</w:t>
      </w:r>
      <w:r>
        <w:t xml:space="preserve">ew </w:t>
      </w:r>
      <w:r w:rsidRPr="004740B0">
        <w:t>Z</w:t>
      </w:r>
      <w:r>
        <w:t>ealand</w:t>
      </w:r>
      <w:r w:rsidRPr="004740B0">
        <w:t xml:space="preserve">, to publish revised </w:t>
      </w:r>
      <w:r w:rsidRPr="004740B0">
        <w:rPr>
          <w:i/>
          <w:iCs/>
        </w:rPr>
        <w:t xml:space="preserve">Drinking-water Standards for New Zealand </w:t>
      </w:r>
      <w:r w:rsidRPr="004740B0">
        <w:t>in 1995 and to develop a strategic plan and tools to improve the public health safety of New Zealand drinking-water. The standards were further updated in 2000, 2005, and again in 2008.</w:t>
      </w:r>
    </w:p>
    <w:p w14:paraId="041E2E29" w14:textId="77777777" w:rsidR="003741ED" w:rsidRPr="004740B0" w:rsidRDefault="003741ED" w:rsidP="003741ED"/>
    <w:p w14:paraId="041E2E2A" w14:textId="77777777" w:rsidR="003741ED" w:rsidRPr="004740B0" w:rsidRDefault="003741ED" w:rsidP="00A51AA8">
      <w:pPr>
        <w:keepNext/>
      </w:pPr>
      <w:r w:rsidRPr="004740B0">
        <w:t>The</w:t>
      </w:r>
      <w:r w:rsidRPr="004740B0">
        <w:rPr>
          <w:i/>
          <w:iCs/>
        </w:rPr>
        <w:t xml:space="preserve"> Drinking-water Standards for New Zealand 2000</w:t>
      </w:r>
      <w:r w:rsidRPr="004740B0">
        <w:t xml:space="preserve"> updated the analytical methods for drinking-water quality and made some minor changes to improve the interpretation and robustness.</w:t>
      </w:r>
    </w:p>
    <w:p w14:paraId="041E2E2B" w14:textId="77777777" w:rsidR="003741ED" w:rsidRPr="004740B0" w:rsidRDefault="003741ED" w:rsidP="003741ED"/>
    <w:p w14:paraId="041E2E2C" w14:textId="77777777" w:rsidR="003741ED" w:rsidRPr="004740B0" w:rsidRDefault="003741ED" w:rsidP="003741ED">
      <w:r w:rsidRPr="004740B0">
        <w:t>Additional new material was included in the</w:t>
      </w:r>
      <w:r w:rsidRPr="004740B0">
        <w:rPr>
          <w:i/>
          <w:iCs/>
        </w:rPr>
        <w:t xml:space="preserve"> Drinking-water Standards for New Zealand 2005</w:t>
      </w:r>
      <w:r w:rsidRPr="004740B0">
        <w:t xml:space="preserve"> (DWSNZ) to accommodate the advances that had occurred in the previous </w:t>
      </w:r>
      <w:r>
        <w:t>five</w:t>
      </w:r>
      <w:r w:rsidRPr="004740B0">
        <w:t xml:space="preserve"> years. This </w:t>
      </w:r>
      <w:r w:rsidRPr="00990575">
        <w:t xml:space="preserve">included protocols for the use of ultraviolet light disinfection to inactivate bacteria and protozoa, radically restructuring sections relating to protozoal </w:t>
      </w:r>
      <w:r>
        <w:t>compliance</w:t>
      </w:r>
      <w:r w:rsidRPr="00990575">
        <w:t xml:space="preserve">, and sections on cyanotoxins, small supplies, and tankered </w:t>
      </w:r>
      <w:r>
        <w:t>drinking-</w:t>
      </w:r>
      <w:r w:rsidRPr="00990575">
        <w:t>water.</w:t>
      </w:r>
      <w:r>
        <w:t xml:space="preserve"> </w:t>
      </w:r>
      <w:r w:rsidRPr="00990575">
        <w:t xml:space="preserve">New information from the </w:t>
      </w:r>
      <w:r w:rsidRPr="004740B0">
        <w:t xml:space="preserve">WHO </w:t>
      </w:r>
      <w:r w:rsidRPr="004740B0">
        <w:rPr>
          <w:i/>
          <w:iCs/>
        </w:rPr>
        <w:t xml:space="preserve">Guidelines for Drinking-water Quality </w:t>
      </w:r>
      <w:r w:rsidRPr="004740B0">
        <w:t>(</w:t>
      </w:r>
      <w:r>
        <w:t>3</w:t>
      </w:r>
      <w:r w:rsidRPr="004740B0">
        <w:t xml:space="preserve">rd </w:t>
      </w:r>
      <w:r>
        <w:t>e</w:t>
      </w:r>
      <w:r w:rsidRPr="004740B0">
        <w:t>dition, 2004) was included.</w:t>
      </w:r>
    </w:p>
    <w:p w14:paraId="041E2E2D" w14:textId="77777777" w:rsidR="003741ED" w:rsidRPr="004740B0" w:rsidRDefault="003741ED" w:rsidP="003741ED"/>
    <w:p w14:paraId="041E2E2E" w14:textId="77777777" w:rsidR="003741ED" w:rsidRPr="004740B0" w:rsidRDefault="003741ED" w:rsidP="003741ED">
      <w:r w:rsidRPr="004740B0">
        <w:t xml:space="preserve">The current Standards are </w:t>
      </w:r>
      <w:r w:rsidRPr="00700C79">
        <w:rPr>
          <w:i/>
        </w:rPr>
        <w:t>Drinking-water Standards for New Zealand 2005</w:t>
      </w:r>
      <w:r>
        <w:t xml:space="preserve"> (r</w:t>
      </w:r>
      <w:r w:rsidRPr="00A8614E">
        <w:t>evised 2008)</w:t>
      </w:r>
      <w:r w:rsidRPr="004740B0">
        <w:t>.</w:t>
      </w:r>
      <w:r>
        <w:t xml:space="preserve"> </w:t>
      </w:r>
      <w:r w:rsidRPr="004740B0">
        <w:t>The</w:t>
      </w:r>
      <w:r>
        <w:t>y</w:t>
      </w:r>
      <w:r w:rsidRPr="004740B0">
        <w:t xml:space="preserve"> have two main components:</w:t>
      </w:r>
    </w:p>
    <w:p w14:paraId="041E2E2F" w14:textId="77777777" w:rsidR="003741ED" w:rsidRPr="00A05F16" w:rsidRDefault="003741ED" w:rsidP="003741ED">
      <w:pPr>
        <w:pStyle w:val="Bullet"/>
      </w:pPr>
      <w:r w:rsidRPr="00A05F16">
        <w:t>public health standards for drinking-water quality which list the maximum concentrations of chemical, radiological and microbiological contaminants that can be present in drinking-water without presenting a public health risk</w:t>
      </w:r>
    </w:p>
    <w:p w14:paraId="041E2E30" w14:textId="77777777" w:rsidR="003741ED" w:rsidRPr="00A05F16" w:rsidRDefault="003741ED" w:rsidP="003741ED">
      <w:pPr>
        <w:pStyle w:val="Bullet"/>
      </w:pPr>
      <w:r w:rsidRPr="00A05F16">
        <w:t>compliance criteria for community water supplies which specify the sampling frequencies and testing procedures needed to demonstrate with 95 percent confidence that the water complies with the DWSNZ for at least 95 percent of the time</w:t>
      </w:r>
      <w:r>
        <w:t>,</w:t>
      </w:r>
      <w:r w:rsidRPr="00A05F16">
        <w:t xml:space="preserve"> and provide for lesser confidence levels for smaller supplies.</w:t>
      </w:r>
    </w:p>
    <w:p w14:paraId="041E2E31" w14:textId="77777777" w:rsidR="003741ED" w:rsidRPr="004740B0" w:rsidRDefault="003741ED" w:rsidP="003741ED"/>
    <w:p w14:paraId="041E2E32" w14:textId="77777777" w:rsidR="003741ED" w:rsidRPr="004740B0" w:rsidRDefault="003741ED" w:rsidP="003741ED">
      <w:r w:rsidRPr="004740B0">
        <w:t xml:space="preserve">Though the DWSNZ provide performance criteria for drinking-water quality management they do not specify how the quality of water supplies should be managed. That is discussed in this publication, the </w:t>
      </w:r>
      <w:r w:rsidRPr="004740B0">
        <w:rPr>
          <w:i/>
          <w:iCs/>
        </w:rPr>
        <w:t>Guidelines for Drinking-water Quality Management in New Zealand</w:t>
      </w:r>
      <w:r w:rsidRPr="004740B0">
        <w:t>, which forms the companion volume to the DWSNZ.</w:t>
      </w:r>
    </w:p>
    <w:p w14:paraId="041E2E33" w14:textId="77777777" w:rsidR="003741ED" w:rsidRPr="004740B0" w:rsidRDefault="003741ED" w:rsidP="003741ED"/>
    <w:p w14:paraId="041E2E34" w14:textId="77777777" w:rsidR="003741ED" w:rsidRPr="004740B0" w:rsidRDefault="003741ED" w:rsidP="003741ED">
      <w:r w:rsidRPr="004740B0">
        <w:t>The water properties addressed in the DWSNZ relate to health significance, not to aesthetic qualities. The</w:t>
      </w:r>
      <w:r w:rsidRPr="004740B0">
        <w:rPr>
          <w:i/>
          <w:iCs/>
        </w:rPr>
        <w:t xml:space="preserve"> Guidelines for Drinking-water Quality Management in New Zealand </w:t>
      </w:r>
      <w:r w:rsidRPr="004740B0">
        <w:t xml:space="preserve">(the </w:t>
      </w:r>
      <w:r w:rsidRPr="004740B0">
        <w:rPr>
          <w:iCs/>
        </w:rPr>
        <w:t>Guidelines</w:t>
      </w:r>
      <w:r w:rsidRPr="004740B0">
        <w:t xml:space="preserve">) explain the principles underlying the DWSNZ, how the Maximum Acceptable Values (MAVs) for determinands in drinking-water were derived, and the part that aesthetic quality plays in producing a </w:t>
      </w:r>
      <w:r>
        <w:t>potable</w:t>
      </w:r>
      <w:r w:rsidRPr="004740B0">
        <w:t>, wholesome and acceptable community drinking-water. The Ministry</w:t>
      </w:r>
      <w:r>
        <w:t>’</w:t>
      </w:r>
      <w:r w:rsidRPr="004740B0">
        <w:t xml:space="preserve">s drinking-water quality management tools and the scope of the Guidelines are discussed in more detail in </w:t>
      </w:r>
      <w:r>
        <w:t>s</w:t>
      </w:r>
      <w:r w:rsidRPr="004740B0">
        <w:t>ection</w:t>
      </w:r>
      <w:r>
        <w:t> </w:t>
      </w:r>
      <w:r>
        <w:fldChar w:fldCharType="begin"/>
      </w:r>
      <w:r>
        <w:instrText xml:space="preserve"> REF _Ref8974430 \r \h </w:instrText>
      </w:r>
      <w:r>
        <w:fldChar w:fldCharType="separate"/>
      </w:r>
      <w:r w:rsidR="00BC7B71">
        <w:t>1.3</w:t>
      </w:r>
      <w:r>
        <w:fldChar w:fldCharType="end"/>
      </w:r>
      <w:r w:rsidRPr="004740B0">
        <w:t>.</w:t>
      </w:r>
    </w:p>
    <w:p w14:paraId="041E2E35" w14:textId="77777777" w:rsidR="003741ED" w:rsidRPr="004740B0" w:rsidRDefault="003741ED" w:rsidP="003741ED"/>
    <w:p w14:paraId="041E2E36" w14:textId="77777777" w:rsidR="003741ED" w:rsidRPr="00320B23" w:rsidRDefault="003741ED" w:rsidP="003741ED">
      <w:pPr>
        <w:pStyle w:val="Heading3"/>
      </w:pPr>
      <w:bookmarkStart w:id="16" w:name="_Toc362013173"/>
      <w:bookmarkStart w:id="17" w:name="_Toc364704279"/>
      <w:bookmarkStart w:id="18" w:name="_Toc2333417"/>
      <w:bookmarkStart w:id="19" w:name="_Toc8979302"/>
      <w:r w:rsidRPr="00320B23">
        <w:t>W</w:t>
      </w:r>
      <w:r>
        <w:t>aterborne diseases in New Zealand</w:t>
      </w:r>
      <w:bookmarkEnd w:id="16"/>
      <w:bookmarkEnd w:id="17"/>
      <w:bookmarkEnd w:id="18"/>
      <w:bookmarkEnd w:id="19"/>
    </w:p>
    <w:p w14:paraId="041E2E37" w14:textId="77777777" w:rsidR="003741ED" w:rsidRPr="00E66263" w:rsidRDefault="003741ED" w:rsidP="003741ED">
      <w:r w:rsidRPr="00E66263">
        <w:t>Untreated or inadequately treated drinking-water contaminated with pathogens presents a significant risk to human health. In New Zealand, the overall burden of endemic drinking-waterborne gastrointestinal disease has been estimated at 18,000 to 34,000 cases per year (Ball 2007). Attributing the cause of illness can be complicated by the lack of data collected at the time.</w:t>
      </w:r>
    </w:p>
    <w:p w14:paraId="041E2E38" w14:textId="77777777" w:rsidR="003741ED" w:rsidRPr="00E66263" w:rsidRDefault="003741ED" w:rsidP="003741ED"/>
    <w:p w14:paraId="041E2E39" w14:textId="77777777" w:rsidR="003741ED" w:rsidRPr="00990575" w:rsidRDefault="003741ED" w:rsidP="00A51AA8">
      <w:pPr>
        <w:keepLines/>
      </w:pPr>
      <w:r w:rsidRPr="00990575">
        <w:t>Following recent outbreaks in Canada (</w:t>
      </w:r>
      <w:r>
        <w:t xml:space="preserve">eg, </w:t>
      </w:r>
      <w:r w:rsidRPr="00990575">
        <w:t xml:space="preserve">Walkerton), Schuster </w:t>
      </w:r>
      <w:r w:rsidR="004A00B0">
        <w:t>et al</w:t>
      </w:r>
      <w:r w:rsidRPr="00990575">
        <w:t xml:space="preserve"> (2005) analysed 288</w:t>
      </w:r>
      <w:r>
        <w:t> </w:t>
      </w:r>
      <w:r w:rsidRPr="00990575">
        <w:t xml:space="preserve">outbreaks in Canada between 1974 </w:t>
      </w:r>
      <w:r>
        <w:t>and</w:t>
      </w:r>
      <w:r w:rsidRPr="00990575">
        <w:t xml:space="preserve"> 2001.</w:t>
      </w:r>
      <w:r>
        <w:t xml:space="preserve"> </w:t>
      </w:r>
      <w:r w:rsidRPr="00990575">
        <w:t xml:space="preserve">They found 99 </w:t>
      </w:r>
      <w:r>
        <w:t xml:space="preserve">outbreaks </w:t>
      </w:r>
      <w:r w:rsidRPr="00990575">
        <w:t>(34</w:t>
      </w:r>
      <w:r>
        <w:t> percent</w:t>
      </w:r>
      <w:r w:rsidRPr="00990575">
        <w:t>) occurred in areas served by public supplies, 138 (48</w:t>
      </w:r>
      <w:r>
        <w:t> percent</w:t>
      </w:r>
      <w:r w:rsidRPr="00990575">
        <w:t>) in semi-public supplies (private supplies but providing drinking-water to the public), and 51</w:t>
      </w:r>
      <w:r>
        <w:t> </w:t>
      </w:r>
      <w:r w:rsidRPr="00990575">
        <w:t>(18</w:t>
      </w:r>
      <w:r>
        <w:t> percent</w:t>
      </w:r>
      <w:r w:rsidRPr="00990575">
        <w:t>) in private supplies.</w:t>
      </w:r>
      <w:r>
        <w:t xml:space="preserve"> </w:t>
      </w:r>
      <w:r w:rsidRPr="00990575">
        <w:t>The causative organisms, in descending frequency of occurrence</w:t>
      </w:r>
      <w:r>
        <w:t>,</w:t>
      </w:r>
      <w:r w:rsidRPr="00990575">
        <w:t xml:space="preserve"> were: </w:t>
      </w:r>
      <w:r w:rsidRPr="00990575">
        <w:rPr>
          <w:i/>
          <w:iCs/>
        </w:rPr>
        <w:t>Giardia</w:t>
      </w:r>
      <w:r w:rsidRPr="00990575">
        <w:t xml:space="preserve">, </w:t>
      </w:r>
      <w:r w:rsidRPr="00990575">
        <w:rPr>
          <w:i/>
          <w:iCs/>
        </w:rPr>
        <w:t>Campylobacter</w:t>
      </w:r>
      <w:r w:rsidRPr="00990575">
        <w:t xml:space="preserve">, </w:t>
      </w:r>
      <w:r w:rsidRPr="00990575">
        <w:rPr>
          <w:i/>
          <w:iCs/>
        </w:rPr>
        <w:t>Cryptosporidium</w:t>
      </w:r>
      <w:r w:rsidRPr="00990575">
        <w:t xml:space="preserve">, Norwalk-type viruses, </w:t>
      </w:r>
      <w:r w:rsidRPr="00990575">
        <w:rPr>
          <w:i/>
          <w:iCs/>
        </w:rPr>
        <w:t>Salmonella</w:t>
      </w:r>
      <w:r w:rsidRPr="00990575">
        <w:t>, and hepatitis A virus.</w:t>
      </w:r>
    </w:p>
    <w:p w14:paraId="041E2E3A" w14:textId="77777777" w:rsidR="003741ED" w:rsidRDefault="003741ED" w:rsidP="003741ED"/>
    <w:p w14:paraId="041E2E3B" w14:textId="77777777" w:rsidR="003741ED" w:rsidRPr="00E66263" w:rsidRDefault="003741ED" w:rsidP="003741ED">
      <w:r w:rsidRPr="00E66263">
        <w:t>In New Zealand, giardiasis, campylobacteriosis, cryptosporidiosis, salmonellosis and as well as acute gastroenteritis in general, are commonly reported enteric diseases with waterborne transmission potential. Norovirus (reported under acute gastroenteritis) also commonly causes waterborne illness, however, it is not notifiable unless the cases are related to an outbreak. Table</w:t>
      </w:r>
      <w:r>
        <w:t> </w:t>
      </w:r>
      <w:r w:rsidRPr="00E66263">
        <w:t>1.1 shows the numbers and rates of notifiable diseases with waterborne transmission potential for the period 2004–2013.</w:t>
      </w:r>
    </w:p>
    <w:p w14:paraId="041E2E3C" w14:textId="77777777" w:rsidR="003741ED" w:rsidRPr="00E66263" w:rsidRDefault="003741ED" w:rsidP="003741ED"/>
    <w:p w14:paraId="041E2E3D" w14:textId="77777777" w:rsidR="003741ED" w:rsidRPr="00E66263" w:rsidRDefault="003741ED" w:rsidP="003741ED">
      <w:r w:rsidRPr="00E66263">
        <w:t>Over the last 10 years, approximately 3 to 10% of enteric disease outbreaks in New Zealand recorded a mode of transmission as waterborne. Table 1.2 shows the number of outbreaks and associated cases recorded for enteric diseases and waterborne enteric diseases for the period 2004–2013.</w:t>
      </w:r>
    </w:p>
    <w:p w14:paraId="041E2E3E" w14:textId="77777777" w:rsidR="003741ED" w:rsidRPr="00E66263" w:rsidRDefault="003741ED" w:rsidP="003741ED"/>
    <w:p w14:paraId="041E2E3F" w14:textId="77777777" w:rsidR="003741ED" w:rsidRPr="00E66263" w:rsidRDefault="003741ED" w:rsidP="003741ED">
      <w:r w:rsidRPr="00E66263">
        <w:t>The numbers and rates of potentially waterborne illness notified and reported in Tables</w:t>
      </w:r>
      <w:r>
        <w:t> </w:t>
      </w:r>
      <w:r w:rsidRPr="00E66263">
        <w:t>1.1 and 1.2 are known to underestimate the actual burden of illness in the community because not all people who become ill are accounted for in the notifiable disease statistics. Reasons for this include:</w:t>
      </w:r>
    </w:p>
    <w:p w14:paraId="041E2E40" w14:textId="77777777" w:rsidR="003741ED" w:rsidRPr="00E66263" w:rsidRDefault="003741ED" w:rsidP="003741ED">
      <w:pPr>
        <w:pStyle w:val="Bullet"/>
      </w:pPr>
      <w:r w:rsidRPr="00E66263">
        <w:t>some people are infected but asymptomatic</w:t>
      </w:r>
    </w:p>
    <w:p w14:paraId="041E2E41" w14:textId="77777777" w:rsidR="003741ED" w:rsidRPr="00E66263" w:rsidRDefault="003741ED" w:rsidP="003741ED">
      <w:pPr>
        <w:pStyle w:val="Bullet"/>
      </w:pPr>
      <w:r w:rsidRPr="00E66263">
        <w:t>some people that are ill do not visit a doctor</w:t>
      </w:r>
    </w:p>
    <w:p w14:paraId="041E2E42" w14:textId="77777777" w:rsidR="003741ED" w:rsidRPr="00E66263" w:rsidRDefault="003741ED" w:rsidP="003741ED">
      <w:pPr>
        <w:pStyle w:val="Bullet"/>
      </w:pPr>
      <w:r w:rsidRPr="00E66263">
        <w:t>a doctor may fail to report a suspected case</w:t>
      </w:r>
    </w:p>
    <w:p w14:paraId="041E2E43" w14:textId="77777777" w:rsidR="003741ED" w:rsidRPr="00E66263" w:rsidRDefault="003741ED" w:rsidP="003741ED">
      <w:pPr>
        <w:pStyle w:val="Bullet"/>
      </w:pPr>
      <w:r w:rsidRPr="00E66263">
        <w:t>a doctor may not request faecal specimens</w:t>
      </w:r>
    </w:p>
    <w:p w14:paraId="041E2E44" w14:textId="77777777" w:rsidR="003741ED" w:rsidRPr="00E66263" w:rsidRDefault="003741ED" w:rsidP="003741ED">
      <w:pPr>
        <w:pStyle w:val="Bullet"/>
      </w:pPr>
      <w:r w:rsidRPr="00E66263">
        <w:t>some people may not submit the requested faecal specimens</w:t>
      </w:r>
    </w:p>
    <w:p w14:paraId="041E2E45" w14:textId="77777777" w:rsidR="003741ED" w:rsidRPr="00E66263" w:rsidRDefault="003741ED" w:rsidP="003741ED">
      <w:pPr>
        <w:pStyle w:val="Bullet"/>
      </w:pPr>
      <w:r w:rsidRPr="00E66263">
        <w:t>many other potentially waterborne illnesses are not notifiable (eg, norovirus cases – unless outbreak related, or sporadic gastroenteritis cases).</w:t>
      </w:r>
    </w:p>
    <w:p w14:paraId="041E2E46" w14:textId="77777777" w:rsidR="003741ED" w:rsidRPr="00E66263" w:rsidRDefault="003741ED" w:rsidP="003741ED"/>
    <w:p w14:paraId="041E2E47" w14:textId="77777777" w:rsidR="003741ED" w:rsidRPr="00E66263" w:rsidRDefault="003741ED" w:rsidP="003741ED">
      <w:r w:rsidRPr="00E66263">
        <w:t xml:space="preserve">A New Zealand study estimated that out of every 222 community cases of acute gastroenteritis illness only one case is reported to the notification system, Lake </w:t>
      </w:r>
      <w:r w:rsidR="004A00B0">
        <w:t>et al</w:t>
      </w:r>
      <w:r w:rsidRPr="00E66263">
        <w:t xml:space="preserve"> 2009; Wheeler </w:t>
      </w:r>
      <w:r w:rsidR="004A00B0">
        <w:t>et al</w:t>
      </w:r>
      <w:r w:rsidRPr="00E66263">
        <w:t xml:space="preserve"> 1999 suggest that only a minority of cases get reported in England.</w:t>
      </w:r>
    </w:p>
    <w:p w14:paraId="041E2E48" w14:textId="77777777" w:rsidR="003741ED" w:rsidRPr="00E66263" w:rsidRDefault="003741ED" w:rsidP="003741ED"/>
    <w:p w14:paraId="041E2E49" w14:textId="77777777" w:rsidR="003741ED" w:rsidRPr="00E66263" w:rsidRDefault="003741ED" w:rsidP="003741ED">
      <w:r w:rsidRPr="00E66263">
        <w:t xml:space="preserve">The term </w:t>
      </w:r>
      <w:r>
        <w:t>‘</w:t>
      </w:r>
      <w:r w:rsidRPr="00E66263">
        <w:t>waterborne potential</w:t>
      </w:r>
      <w:r>
        <w:t>’</w:t>
      </w:r>
      <w:r w:rsidRPr="00E66263">
        <w:t xml:space="preserve"> is used here for any illness that could potentially be transmitted by water. This does not mean that an illness was actually transmitted by water. A large number of gastrointestinal infections are associated with other transmission routes (eg, foodborne, person-to person or environmental transmission, eg, Reilly </w:t>
      </w:r>
      <w:r w:rsidR="004A00B0">
        <w:t>et al</w:t>
      </w:r>
      <w:r w:rsidRPr="00E66263">
        <w:t xml:space="preserve"> 2004). The proportion attributable to each transmission route varies by disease. Finally, only a proportion of those that are linked to waterborne transmission will be directly associated with drinking-water. Other possible waterborne transmission routes include contact with recreational water. But this is not cause for complacency for at least four reasons.</w:t>
      </w:r>
    </w:p>
    <w:p w14:paraId="041E2E4A" w14:textId="77777777" w:rsidR="003741ED" w:rsidRDefault="003741ED" w:rsidP="003741ED"/>
    <w:p w14:paraId="041E2E4B" w14:textId="77777777" w:rsidR="003741ED" w:rsidRPr="00990575" w:rsidRDefault="003741ED" w:rsidP="003741ED">
      <w:r w:rsidRPr="00990575">
        <w:t xml:space="preserve">First, the majority of the disease burden occurs in sporadic or endemic cases, not in </w:t>
      </w:r>
      <w:r>
        <w:t xml:space="preserve">detected </w:t>
      </w:r>
      <w:r w:rsidRPr="00990575">
        <w:t>outbreaks</w:t>
      </w:r>
      <w:r w:rsidRPr="003741ED">
        <w:rPr>
          <w:rStyle w:val="FootnoteReference"/>
        </w:rPr>
        <w:footnoteReference w:id="1"/>
      </w:r>
      <w:r w:rsidRPr="00990575">
        <w:t xml:space="preserve"> (Figure 1.1 demonstrates the distinction between these terms).</w:t>
      </w:r>
      <w:r>
        <w:t xml:space="preserve"> </w:t>
      </w:r>
      <w:r w:rsidRPr="00990575">
        <w:t>Therefore, given the publicity that outbreaks attract, the sporadic disease prevalence may be underestimated.</w:t>
      </w:r>
      <w:r>
        <w:t xml:space="preserve"> </w:t>
      </w:r>
      <w:r w:rsidRPr="00990575">
        <w:t>To elaborate, some illnesses may often occur in outbreaks (</w:t>
      </w:r>
      <w:r>
        <w:t xml:space="preserve">eg, </w:t>
      </w:r>
      <w:r w:rsidRPr="00990575">
        <w:t>cryptosporidiosis) and so can receive a lot of publicity (</w:t>
      </w:r>
      <w:r>
        <w:t xml:space="preserve">eg, </w:t>
      </w:r>
      <w:r w:rsidRPr="00990575">
        <w:t xml:space="preserve">Baker </w:t>
      </w:r>
      <w:r w:rsidR="004A00B0">
        <w:rPr>
          <w:iCs/>
        </w:rPr>
        <w:t>et al</w:t>
      </w:r>
      <w:r w:rsidRPr="00551D6C">
        <w:t xml:space="preserve"> 1998</w:t>
      </w:r>
      <w:r w:rsidRPr="00990575">
        <w:t xml:space="preserve"> and associated news items).</w:t>
      </w:r>
      <w:r>
        <w:t xml:space="preserve"> </w:t>
      </w:r>
      <w:r w:rsidRPr="00990575">
        <w:t>Indeed there is a whole book devoted to analysis of outbre</w:t>
      </w:r>
      <w:r>
        <w:t>aks attributed to poor drinking-</w:t>
      </w:r>
      <w:r w:rsidRPr="00990575">
        <w:t xml:space="preserve">water supplies (Hrudey </w:t>
      </w:r>
      <w:r>
        <w:t>and</w:t>
      </w:r>
      <w:r w:rsidRPr="00990575">
        <w:t xml:space="preserve"> Hrudey 2004)</w:t>
      </w:r>
      <w:r>
        <w:t>,</w:t>
      </w:r>
      <w:r w:rsidRPr="003741ED">
        <w:rPr>
          <w:rStyle w:val="FootnoteReference"/>
        </w:rPr>
        <w:footnoteReference w:id="2"/>
      </w:r>
      <w:r w:rsidRPr="00990575">
        <w:t xml:space="preserve"> including </w:t>
      </w:r>
      <w:r>
        <w:t xml:space="preserve">a </w:t>
      </w:r>
      <w:r w:rsidRPr="00990575">
        <w:t>New Zealand water supply example</w:t>
      </w:r>
      <w:r>
        <w:t xml:space="preserve">. </w:t>
      </w:r>
      <w:r w:rsidRPr="00990575">
        <w:t>However, other illnesses, such as</w:t>
      </w:r>
      <w:r>
        <w:t xml:space="preserve"> </w:t>
      </w:r>
      <w:r w:rsidRPr="00990575">
        <w:t>campylobacteriosis, are usually less associated with outbreaks (although these can happen,</w:t>
      </w:r>
      <w:r>
        <w:t xml:space="preserve"> </w:t>
      </w:r>
      <w:r w:rsidRPr="00990575">
        <w:t>particularly when water treatment systems are not operated well</w:t>
      </w:r>
      <w:r>
        <w:t>).</w:t>
      </w:r>
      <w:r w:rsidRPr="003741ED">
        <w:rPr>
          <w:rStyle w:val="FootnoteReference"/>
        </w:rPr>
        <w:footnoteReference w:id="3"/>
      </w:r>
      <w:r>
        <w:t xml:space="preserve"> </w:t>
      </w:r>
      <w:r w:rsidRPr="00990575">
        <w:t>Health scientists are now in broad agreement that outbreaks form only a minor part of the total drinking-water related illness burden.</w:t>
      </w:r>
      <w:r>
        <w:t xml:space="preserve"> </w:t>
      </w:r>
      <w:r w:rsidRPr="00990575">
        <w:t xml:space="preserve">For example, Dr Jamie Bartram of WHO, in introducing a section on </w:t>
      </w:r>
      <w:r w:rsidRPr="00FD2480">
        <w:rPr>
          <w:i/>
        </w:rPr>
        <w:t>Investigation of Sporadic Waterborne Disease</w:t>
      </w:r>
      <w:r w:rsidRPr="00990575">
        <w:t xml:space="preserve"> in an authoritative text on drinking-water and disease (Hunter </w:t>
      </w:r>
      <w:r w:rsidR="004A00B0">
        <w:rPr>
          <w:iCs/>
        </w:rPr>
        <w:t>et al</w:t>
      </w:r>
      <w:r w:rsidRPr="00160694">
        <w:t xml:space="preserve"> 2003</w:t>
      </w:r>
      <w:r>
        <w:t>)</w:t>
      </w:r>
      <w:r w:rsidRPr="00990575">
        <w:t xml:space="preserve">, states that </w:t>
      </w:r>
      <w:r>
        <w:t>“</w:t>
      </w:r>
      <w:r w:rsidRPr="00990575">
        <w:t>a large proportion, and probably the vast majority, of waterborne disease burden arises outside of detected outbreaks.</w:t>
      </w:r>
      <w:r>
        <w:t xml:space="preserve"> </w:t>
      </w:r>
      <w:r w:rsidRPr="00990575">
        <w:t>This statement contrasts with the view, predominant until only a few years ago and still periodically heard, that the failure to detect outbreaks of waterborne disease illustrates that this route of disease transmission is largely conquered in industrialised countries</w:t>
      </w:r>
      <w:r>
        <w:t>”</w:t>
      </w:r>
      <w:r w:rsidRPr="00990575">
        <w:t xml:space="preserve"> </w:t>
      </w:r>
      <w:r>
        <w:t>(</w:t>
      </w:r>
      <w:r w:rsidRPr="00990575">
        <w:t>Bartram</w:t>
      </w:r>
      <w:r w:rsidRPr="003E0F65">
        <w:rPr>
          <w:iCs/>
        </w:rPr>
        <w:t xml:space="preserve"> </w:t>
      </w:r>
      <w:r w:rsidRPr="00990575">
        <w:t>2003</w:t>
      </w:r>
      <w:r>
        <w:t>)</w:t>
      </w:r>
      <w:r w:rsidRPr="00990575">
        <w:t>.</w:t>
      </w:r>
    </w:p>
    <w:p w14:paraId="041E2E4C" w14:textId="77777777" w:rsidR="003741ED" w:rsidRDefault="003741ED" w:rsidP="004A00B0"/>
    <w:p w14:paraId="041E2E4D" w14:textId="77777777" w:rsidR="003741ED" w:rsidRPr="00990575" w:rsidRDefault="003741ED" w:rsidP="004A00B0">
      <w:r w:rsidRPr="00990575">
        <w:t>Second, to identify the endemic and sporadic cases, special epidemiological investigations must be conducted to see if those cases are associated with drinking-water.</w:t>
      </w:r>
      <w:r>
        <w:t xml:space="preserve"> </w:t>
      </w:r>
      <w:r w:rsidRPr="00990575">
        <w:t>Because of the cost of resources required to carry out such a study such work is usually not done.</w:t>
      </w:r>
      <w:r>
        <w:t xml:space="preserve"> </w:t>
      </w:r>
      <w:r w:rsidRPr="00990575">
        <w:t>When such studies are performed, an association with the degree of drinking-water treatment is often identified.</w:t>
      </w:r>
      <w:r>
        <w:t xml:space="preserve"> </w:t>
      </w:r>
      <w:r w:rsidRPr="00990575">
        <w:t xml:space="preserve">This has been found both overseas (Payment 2003, Hunter </w:t>
      </w:r>
      <w:r w:rsidR="004A00B0">
        <w:rPr>
          <w:iCs/>
        </w:rPr>
        <w:t>et al</w:t>
      </w:r>
      <w:r w:rsidRPr="00990575">
        <w:t xml:space="preserve"> 2003) and in New Zealand.</w:t>
      </w:r>
      <w:r>
        <w:t xml:space="preserve"> </w:t>
      </w:r>
      <w:r w:rsidRPr="00990575">
        <w:t>The New Zealand studies include giardiasis in a city in which two water supplies drawn from the same source receive</w:t>
      </w:r>
      <w:r>
        <w:t>d different levels of treatment</w:t>
      </w:r>
      <w:r w:rsidRPr="00990575">
        <w:t xml:space="preserve"> (Dunedin, Fraser </w:t>
      </w:r>
      <w:r>
        <w:t>and</w:t>
      </w:r>
      <w:r w:rsidRPr="00990575">
        <w:t xml:space="preserve"> Cooke 1991); campylobacteriosis in a number of rural water supplies (Eberhardt-Phillips </w:t>
      </w:r>
      <w:r w:rsidR="004A00B0">
        <w:rPr>
          <w:iCs/>
        </w:rPr>
        <w:t>et al</w:t>
      </w:r>
      <w:r w:rsidRPr="00990575">
        <w:t xml:space="preserve"> 1997)</w:t>
      </w:r>
      <w:r>
        <w:t>,</w:t>
      </w:r>
      <w:r w:rsidRPr="00990575">
        <w:t xml:space="preserve"> and a Hawkes Bay college; cryptosporidiosis in many communities (Duncanson </w:t>
      </w:r>
      <w:r w:rsidR="004A00B0">
        <w:rPr>
          <w:iCs/>
        </w:rPr>
        <w:t>et al</w:t>
      </w:r>
      <w:r w:rsidRPr="00990575">
        <w:t xml:space="preserve"> 2000); and microbial and chemical contamination of roof-collected rainwater supplies in Auckland, and associated illnesses (Simmons </w:t>
      </w:r>
      <w:r w:rsidR="004A00B0">
        <w:rPr>
          <w:iCs/>
        </w:rPr>
        <w:t>et al</w:t>
      </w:r>
      <w:r w:rsidRPr="00990575">
        <w:t xml:space="preserve"> 2001).</w:t>
      </w:r>
    </w:p>
    <w:p w14:paraId="041E2E4E" w14:textId="77777777" w:rsidR="003741ED" w:rsidRPr="00990575" w:rsidRDefault="003741ED" w:rsidP="004A00B0"/>
    <w:p w14:paraId="041E2E4F" w14:textId="77777777" w:rsidR="003741ED" w:rsidRPr="00990575" w:rsidRDefault="003741ED" w:rsidP="00A51AA8">
      <w:pPr>
        <w:keepLines/>
      </w:pPr>
      <w:r w:rsidRPr="00990575">
        <w:t xml:space="preserve">Third, there is a substantial level of faecal contamination of New Zealand freshwaters, including </w:t>
      </w:r>
      <w:r w:rsidRPr="00990575">
        <w:rPr>
          <w:i/>
          <w:iCs/>
        </w:rPr>
        <w:t>Campylobacter,</w:t>
      </w:r>
      <w:r w:rsidRPr="00990575">
        <w:t xml:space="preserve"> enteroviruses and adenoviruses, even at recreational and water supply abstraction sites (McBride </w:t>
      </w:r>
      <w:r w:rsidR="004A00B0">
        <w:rPr>
          <w:iCs/>
        </w:rPr>
        <w:t>et al</w:t>
      </w:r>
      <w:r w:rsidRPr="003832F1">
        <w:t xml:space="preserve"> 2002</w:t>
      </w:r>
      <w:r w:rsidRPr="00990575">
        <w:t>).</w:t>
      </w:r>
      <w:r>
        <w:t xml:space="preserve"> </w:t>
      </w:r>
      <w:r w:rsidRPr="00990575">
        <w:t>Human and livestock wastes may contain large numbers of pathogens that can present a major threat to public health if released into the environment and result in substantial health costs.</w:t>
      </w:r>
      <w:r>
        <w:t xml:space="preserve"> </w:t>
      </w:r>
      <w:r w:rsidRPr="00990575">
        <w:t xml:space="preserve">Numerous waterborne outbreaks of infectious enteric diseases worldwide have been </w:t>
      </w:r>
      <w:r>
        <w:t>a</w:t>
      </w:r>
      <w:r w:rsidRPr="00990575">
        <w:t>ssociated with discharge of effluents and agricult</w:t>
      </w:r>
      <w:r>
        <w:t>ural runoff resulting in human exposure to faecal-</w:t>
      </w:r>
      <w:r w:rsidRPr="00990575">
        <w:t>contaminated water.</w:t>
      </w:r>
      <w:r>
        <w:t xml:space="preserve"> </w:t>
      </w:r>
      <w:r w:rsidRPr="00990575">
        <w:t>Luckily</w:t>
      </w:r>
      <w:r>
        <w:t>,</w:t>
      </w:r>
      <w:r w:rsidRPr="00990575">
        <w:t xml:space="preserve"> in general</w:t>
      </w:r>
      <w:r>
        <w:t>,</w:t>
      </w:r>
      <w:r w:rsidRPr="00990575">
        <w:t xml:space="preserve"> the larger New Zealand d</w:t>
      </w:r>
      <w:r>
        <w:t>rinking-water supplies are well-</w:t>
      </w:r>
      <w:r w:rsidRPr="00990575">
        <w:t>managed</w:t>
      </w:r>
      <w:r>
        <w:t xml:space="preserve"> and generally well-sourced</w:t>
      </w:r>
      <w:r w:rsidRPr="00990575">
        <w:t>.</w:t>
      </w:r>
      <w:r>
        <w:t xml:space="preserve"> </w:t>
      </w:r>
      <w:r w:rsidRPr="00990575">
        <w:t xml:space="preserve">This has minimised the potential disease level that could have been expected from the level of microbiological contamination of </w:t>
      </w:r>
      <w:r>
        <w:t xml:space="preserve">some of </w:t>
      </w:r>
      <w:r w:rsidRPr="00990575">
        <w:t>the source waters.</w:t>
      </w:r>
      <w:r>
        <w:t xml:space="preserve"> Cysts and o</w:t>
      </w:r>
      <w:r w:rsidRPr="00990575">
        <w:t>ocysts of protozoan parasites such as</w:t>
      </w:r>
      <w:r>
        <w:t xml:space="preserve"> </w:t>
      </w:r>
      <w:r w:rsidRPr="00A05F16">
        <w:rPr>
          <w:i/>
        </w:rPr>
        <w:t>Giardia</w:t>
      </w:r>
      <w:r>
        <w:t xml:space="preserve"> and </w:t>
      </w:r>
      <w:r w:rsidRPr="00990575">
        <w:rPr>
          <w:i/>
          <w:iCs/>
        </w:rPr>
        <w:t>Cryptosporidium</w:t>
      </w:r>
      <w:r w:rsidRPr="00A05F16">
        <w:rPr>
          <w:iCs/>
        </w:rPr>
        <w:t xml:space="preserve"> </w:t>
      </w:r>
      <w:r w:rsidRPr="00990575">
        <w:t xml:space="preserve">are frequently found in environmental waters especially in areas of intensive livestock farming (Ionas </w:t>
      </w:r>
      <w:r w:rsidR="004A00B0">
        <w:t>et al</w:t>
      </w:r>
      <w:r w:rsidRPr="003832F1">
        <w:t xml:space="preserve"> 1999</w:t>
      </w:r>
      <w:r w:rsidRPr="00990575">
        <w:t>).</w:t>
      </w:r>
      <w:r>
        <w:t xml:space="preserve"> </w:t>
      </w:r>
      <w:r w:rsidRPr="00990575">
        <w:t xml:space="preserve">In the UK, significant costs ranging from £15 </w:t>
      </w:r>
      <w:r>
        <w:t>to</w:t>
      </w:r>
      <w:r w:rsidRPr="00990575">
        <w:t xml:space="preserve"> 30 million per annum have been estimated (Pretty </w:t>
      </w:r>
      <w:r w:rsidR="004A00B0">
        <w:rPr>
          <w:iCs/>
        </w:rPr>
        <w:t>et al</w:t>
      </w:r>
      <w:r w:rsidRPr="00990575">
        <w:t xml:space="preserve"> 2000) to result from the agricultural contamination of drinking-water with zoonoses (diseases transmitted from animals to humans) such as </w:t>
      </w:r>
      <w:r w:rsidRPr="00990575">
        <w:rPr>
          <w:i/>
          <w:iCs/>
        </w:rPr>
        <w:t>Cryptosporidium</w:t>
      </w:r>
      <w:r w:rsidRPr="00990575">
        <w:t>.</w:t>
      </w:r>
    </w:p>
    <w:p w14:paraId="041E2E50" w14:textId="77777777" w:rsidR="003741ED" w:rsidRPr="00990575" w:rsidRDefault="003741ED" w:rsidP="004A00B0"/>
    <w:p w14:paraId="041E2E51" w14:textId="77777777" w:rsidR="003741ED" w:rsidRDefault="003741ED" w:rsidP="004A00B0">
      <w:r w:rsidRPr="00990575">
        <w:t xml:space="preserve">Finally, </w:t>
      </w:r>
      <w:r>
        <w:t>despite c</w:t>
      </w:r>
      <w:r w:rsidRPr="00990575">
        <w:t>areful and extensive examination of New Zealand drinking waters fail</w:t>
      </w:r>
      <w:r>
        <w:t>ing</w:t>
      </w:r>
      <w:r w:rsidRPr="00990575">
        <w:t xml:space="preserve"> to find any trace of </w:t>
      </w:r>
      <w:r w:rsidRPr="00990575">
        <w:rPr>
          <w:i/>
          <w:iCs/>
        </w:rPr>
        <w:t>Campylobacter</w:t>
      </w:r>
      <w:r w:rsidRPr="00990575">
        <w:t xml:space="preserve"> in well-t</w:t>
      </w:r>
      <w:r>
        <w:t>reated and disinfected drinking-</w:t>
      </w:r>
      <w:r w:rsidRPr="00990575">
        <w:t>water supplies</w:t>
      </w:r>
      <w:r>
        <w:t>,</w:t>
      </w:r>
      <w:r w:rsidRPr="00990575">
        <w:t xml:space="preserve"> it is present in almost all riverine source water</w:t>
      </w:r>
      <w:r>
        <w:t>.</w:t>
      </w:r>
      <w:r w:rsidRPr="004A00B0">
        <w:rPr>
          <w:rStyle w:val="FootnoteReference"/>
        </w:rPr>
        <w:footnoteReference w:id="4"/>
      </w:r>
    </w:p>
    <w:p w14:paraId="041E2E52" w14:textId="77777777" w:rsidR="003741ED" w:rsidRDefault="003741ED" w:rsidP="004A00B0"/>
    <w:p w14:paraId="041E2E53" w14:textId="77777777" w:rsidR="003741ED" w:rsidRPr="00F8240E" w:rsidRDefault="003741ED" w:rsidP="004A00B0">
      <w:r w:rsidRPr="00F8240E">
        <w:t>In his evidence to the Havelock North inquiry, Dr S Hrudey (2017) stated:</w:t>
      </w:r>
    </w:p>
    <w:p w14:paraId="041E2E54" w14:textId="77777777" w:rsidR="003741ED" w:rsidRPr="00B22B64" w:rsidRDefault="003741ED" w:rsidP="004A00B0">
      <w:pPr>
        <w:pStyle w:val="Quote"/>
        <w:rPr>
          <w:lang w:eastAsia="en-NZ"/>
        </w:rPr>
      </w:pPr>
      <w:r w:rsidRPr="00B22B64">
        <w:rPr>
          <w:lang w:eastAsia="en-NZ"/>
        </w:rPr>
        <w:t>In closing, the common theme across all of the international outbreak evidence is one of complacency. Our affluent societies have known for many decades how to prevent outbreaks yet we continue to allow them to happen by failing to do what we know needs to be done. In this sense, an analogy may be drawn with recurring outbreaks of communicable diseases like measles and mumps that occur because of a failure to maintain adequate immunization. These circumstance</w:t>
      </w:r>
      <w:r>
        <w:rPr>
          <w:lang w:eastAsia="en-NZ"/>
        </w:rPr>
        <w:t>s</w:t>
      </w:r>
      <w:r w:rsidRPr="00B22B64">
        <w:rPr>
          <w:lang w:eastAsia="en-NZ"/>
        </w:rPr>
        <w:t xml:space="preserve"> reveal the inevitable tension between individual rights and societal benefit. In the case of drinking water, individual biases about water disinfection and treatment should not be allowed to endanger innocent consumers, especially when </w:t>
      </w:r>
      <w:r w:rsidRPr="00B22B64">
        <w:t>such biases are based on urban myths and are not founded on authentic public health evidence.</w:t>
      </w:r>
    </w:p>
    <w:p w14:paraId="041E2E55" w14:textId="77777777" w:rsidR="003741ED" w:rsidRDefault="003741ED" w:rsidP="004A00B0"/>
    <w:p w14:paraId="041E2E56" w14:textId="77777777" w:rsidR="00AD73CB" w:rsidRDefault="00AD73CB" w:rsidP="00AD73CB">
      <w:pPr>
        <w:pStyle w:val="Table"/>
        <w:sectPr w:rsidR="00AD73CB" w:rsidSect="002B7BEC">
          <w:footerReference w:type="even" r:id="rId12"/>
          <w:footerReference w:type="default" r:id="rId13"/>
          <w:pgSz w:w="11907" w:h="16834" w:code="9"/>
          <w:pgMar w:top="1418" w:right="1701" w:bottom="1134" w:left="1843" w:header="284" w:footer="425" w:gutter="284"/>
          <w:pgNumType w:start="1"/>
          <w:cols w:space="720"/>
          <w:docGrid w:linePitch="286"/>
        </w:sectPr>
      </w:pPr>
      <w:bookmarkStart w:id="20" w:name="_Toc2333596"/>
    </w:p>
    <w:p w14:paraId="041E2E57" w14:textId="77777777" w:rsidR="003741ED" w:rsidRPr="00DF7C22" w:rsidRDefault="003741ED" w:rsidP="00AD73CB">
      <w:pPr>
        <w:pStyle w:val="Table"/>
      </w:pPr>
      <w:bookmarkStart w:id="21" w:name="_Toc8979354"/>
      <w:r w:rsidRPr="00DF7C22">
        <w:t>Table 1.1: Numbers and rates of notifiable diseases with waterborne transmission potential, 2004–2013</w:t>
      </w:r>
      <w:bookmarkEnd w:id="20"/>
      <w:bookmarkEnd w:id="21"/>
    </w:p>
    <w:tbl>
      <w:tblPr>
        <w:tblW w:w="14601" w:type="dxa"/>
        <w:tblInd w:w="57" w:type="dxa"/>
        <w:tblLayout w:type="fixed"/>
        <w:tblCellMar>
          <w:left w:w="57" w:type="dxa"/>
          <w:right w:w="57" w:type="dxa"/>
        </w:tblCellMar>
        <w:tblLook w:val="04A0" w:firstRow="1" w:lastRow="0" w:firstColumn="1" w:lastColumn="0" w:noHBand="0" w:noVBand="1"/>
      </w:tblPr>
      <w:tblGrid>
        <w:gridCol w:w="1560"/>
        <w:gridCol w:w="652"/>
        <w:gridCol w:w="652"/>
        <w:gridCol w:w="652"/>
        <w:gridCol w:w="652"/>
        <w:gridCol w:w="652"/>
        <w:gridCol w:w="652"/>
        <w:gridCol w:w="652"/>
        <w:gridCol w:w="652"/>
        <w:gridCol w:w="652"/>
        <w:gridCol w:w="652"/>
        <w:gridCol w:w="652"/>
        <w:gridCol w:w="652"/>
        <w:gridCol w:w="652"/>
        <w:gridCol w:w="652"/>
        <w:gridCol w:w="652"/>
        <w:gridCol w:w="652"/>
        <w:gridCol w:w="652"/>
        <w:gridCol w:w="652"/>
        <w:gridCol w:w="652"/>
        <w:gridCol w:w="653"/>
      </w:tblGrid>
      <w:tr w:rsidR="00397776" w:rsidRPr="00DF7C22" w14:paraId="041E2E63" w14:textId="77777777" w:rsidTr="00850A0F">
        <w:trPr>
          <w:cantSplit/>
        </w:trPr>
        <w:tc>
          <w:tcPr>
            <w:tcW w:w="1560" w:type="dxa"/>
            <w:vMerge w:val="restart"/>
            <w:tcBorders>
              <w:bottom w:val="single" w:sz="4" w:space="0" w:color="FFFFFF" w:themeColor="background1"/>
              <w:right w:val="single" w:sz="4" w:space="0" w:color="A6A6A6" w:themeColor="background1" w:themeShade="A6"/>
            </w:tcBorders>
            <w:shd w:val="clear" w:color="auto" w:fill="D9D9D9" w:themeFill="background1" w:themeFillShade="D9"/>
            <w:noWrap/>
            <w:hideMark/>
          </w:tcPr>
          <w:p w14:paraId="041E2E58" w14:textId="77777777" w:rsidR="003741ED" w:rsidRPr="00397776" w:rsidRDefault="003741ED" w:rsidP="00397776">
            <w:pPr>
              <w:pStyle w:val="TableText"/>
              <w:rPr>
                <w:b/>
                <w:lang w:eastAsia="en-NZ"/>
              </w:rPr>
            </w:pPr>
            <w:r w:rsidRPr="00397776">
              <w:rPr>
                <w:b/>
                <w:lang w:eastAsia="en-NZ"/>
              </w:rPr>
              <w:t>Notifiable disease</w:t>
            </w:r>
          </w:p>
        </w:tc>
        <w:tc>
          <w:tcPr>
            <w:tcW w:w="1304"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2E59" w14:textId="77777777" w:rsidR="003741ED" w:rsidRPr="00397776" w:rsidRDefault="003741ED" w:rsidP="00397776">
            <w:pPr>
              <w:pStyle w:val="TableText"/>
              <w:spacing w:after="0"/>
              <w:jc w:val="center"/>
              <w:rPr>
                <w:b/>
                <w:lang w:eastAsia="en-NZ"/>
              </w:rPr>
            </w:pPr>
            <w:r w:rsidRPr="00397776">
              <w:rPr>
                <w:b/>
                <w:lang w:eastAsia="en-NZ"/>
              </w:rPr>
              <w:t>2004</w:t>
            </w:r>
          </w:p>
        </w:tc>
        <w:tc>
          <w:tcPr>
            <w:tcW w:w="1304"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2E5A" w14:textId="77777777" w:rsidR="003741ED" w:rsidRPr="00397776" w:rsidRDefault="003741ED" w:rsidP="00397776">
            <w:pPr>
              <w:pStyle w:val="TableText"/>
              <w:spacing w:after="0"/>
              <w:jc w:val="center"/>
              <w:rPr>
                <w:b/>
                <w:lang w:eastAsia="en-NZ"/>
              </w:rPr>
            </w:pPr>
            <w:r w:rsidRPr="00397776">
              <w:rPr>
                <w:b/>
                <w:lang w:eastAsia="en-NZ"/>
              </w:rPr>
              <w:t>2005</w:t>
            </w:r>
          </w:p>
        </w:tc>
        <w:tc>
          <w:tcPr>
            <w:tcW w:w="1304"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2E5B" w14:textId="77777777" w:rsidR="003741ED" w:rsidRPr="00397776" w:rsidRDefault="003741ED" w:rsidP="00397776">
            <w:pPr>
              <w:pStyle w:val="TableText"/>
              <w:spacing w:after="0"/>
              <w:jc w:val="center"/>
              <w:rPr>
                <w:b/>
                <w:lang w:eastAsia="en-NZ"/>
              </w:rPr>
            </w:pPr>
            <w:r w:rsidRPr="00397776">
              <w:rPr>
                <w:b/>
                <w:lang w:eastAsia="en-NZ"/>
              </w:rPr>
              <w:t>2006</w:t>
            </w:r>
          </w:p>
        </w:tc>
        <w:tc>
          <w:tcPr>
            <w:tcW w:w="1304"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2E5C" w14:textId="77777777" w:rsidR="003741ED" w:rsidRPr="00397776" w:rsidRDefault="003741ED" w:rsidP="00397776">
            <w:pPr>
              <w:pStyle w:val="TableText"/>
              <w:spacing w:after="0"/>
              <w:jc w:val="center"/>
              <w:rPr>
                <w:b/>
                <w:lang w:eastAsia="en-NZ"/>
              </w:rPr>
            </w:pPr>
            <w:r w:rsidRPr="00397776">
              <w:rPr>
                <w:b/>
                <w:lang w:eastAsia="en-NZ"/>
              </w:rPr>
              <w:t>2007</w:t>
            </w:r>
          </w:p>
        </w:tc>
        <w:tc>
          <w:tcPr>
            <w:tcW w:w="1304"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2E5D" w14:textId="77777777" w:rsidR="003741ED" w:rsidRPr="00397776" w:rsidRDefault="003741ED" w:rsidP="00397776">
            <w:pPr>
              <w:pStyle w:val="TableText"/>
              <w:spacing w:after="0"/>
              <w:jc w:val="center"/>
              <w:rPr>
                <w:b/>
                <w:lang w:eastAsia="en-NZ"/>
              </w:rPr>
            </w:pPr>
            <w:r w:rsidRPr="00397776">
              <w:rPr>
                <w:b/>
                <w:lang w:eastAsia="en-NZ"/>
              </w:rPr>
              <w:t>2008</w:t>
            </w:r>
          </w:p>
        </w:tc>
        <w:tc>
          <w:tcPr>
            <w:tcW w:w="1304"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2E5E" w14:textId="77777777" w:rsidR="003741ED" w:rsidRPr="00397776" w:rsidRDefault="003741ED" w:rsidP="00397776">
            <w:pPr>
              <w:pStyle w:val="TableText"/>
              <w:spacing w:after="0"/>
              <w:jc w:val="center"/>
              <w:rPr>
                <w:b/>
                <w:lang w:eastAsia="en-NZ"/>
              </w:rPr>
            </w:pPr>
            <w:r w:rsidRPr="00397776">
              <w:rPr>
                <w:b/>
                <w:lang w:eastAsia="en-NZ"/>
              </w:rPr>
              <w:t>2009</w:t>
            </w:r>
          </w:p>
        </w:tc>
        <w:tc>
          <w:tcPr>
            <w:tcW w:w="1304"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2E5F" w14:textId="77777777" w:rsidR="003741ED" w:rsidRPr="00397776" w:rsidRDefault="003741ED" w:rsidP="00397776">
            <w:pPr>
              <w:pStyle w:val="TableText"/>
              <w:spacing w:after="0"/>
              <w:jc w:val="center"/>
              <w:rPr>
                <w:b/>
                <w:lang w:eastAsia="en-NZ"/>
              </w:rPr>
            </w:pPr>
            <w:r w:rsidRPr="00397776">
              <w:rPr>
                <w:b/>
                <w:lang w:eastAsia="en-NZ"/>
              </w:rPr>
              <w:t>2010</w:t>
            </w:r>
          </w:p>
        </w:tc>
        <w:tc>
          <w:tcPr>
            <w:tcW w:w="1304"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2E60" w14:textId="77777777" w:rsidR="003741ED" w:rsidRPr="00397776" w:rsidRDefault="003741ED" w:rsidP="00397776">
            <w:pPr>
              <w:pStyle w:val="TableText"/>
              <w:spacing w:after="0"/>
              <w:jc w:val="center"/>
              <w:rPr>
                <w:b/>
                <w:lang w:eastAsia="en-NZ"/>
              </w:rPr>
            </w:pPr>
            <w:r w:rsidRPr="00397776">
              <w:rPr>
                <w:b/>
                <w:lang w:eastAsia="en-NZ"/>
              </w:rPr>
              <w:t>2011</w:t>
            </w:r>
          </w:p>
        </w:tc>
        <w:tc>
          <w:tcPr>
            <w:tcW w:w="1304"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2E61" w14:textId="77777777" w:rsidR="003741ED" w:rsidRPr="00397776" w:rsidRDefault="003741ED" w:rsidP="00397776">
            <w:pPr>
              <w:pStyle w:val="TableText"/>
              <w:spacing w:after="0"/>
              <w:jc w:val="center"/>
              <w:rPr>
                <w:b/>
                <w:lang w:eastAsia="en-NZ"/>
              </w:rPr>
            </w:pPr>
            <w:r w:rsidRPr="00397776">
              <w:rPr>
                <w:b/>
                <w:lang w:eastAsia="en-NZ"/>
              </w:rPr>
              <w:t>2012</w:t>
            </w:r>
          </w:p>
        </w:tc>
        <w:tc>
          <w:tcPr>
            <w:tcW w:w="1305" w:type="dxa"/>
            <w:gridSpan w:val="2"/>
            <w:tcBorders>
              <w:left w:val="single" w:sz="4" w:space="0" w:color="A6A6A6" w:themeColor="background1" w:themeShade="A6"/>
            </w:tcBorders>
            <w:shd w:val="clear" w:color="auto" w:fill="D9D9D9" w:themeFill="background1" w:themeFillShade="D9"/>
            <w:noWrap/>
            <w:hideMark/>
          </w:tcPr>
          <w:p w14:paraId="041E2E62" w14:textId="77777777" w:rsidR="003741ED" w:rsidRPr="00397776" w:rsidRDefault="003741ED" w:rsidP="00397776">
            <w:pPr>
              <w:pStyle w:val="TableText"/>
              <w:spacing w:after="0"/>
              <w:jc w:val="center"/>
              <w:rPr>
                <w:b/>
                <w:lang w:eastAsia="en-NZ"/>
              </w:rPr>
            </w:pPr>
            <w:r w:rsidRPr="00397776">
              <w:rPr>
                <w:b/>
                <w:lang w:eastAsia="en-NZ"/>
              </w:rPr>
              <w:t>2013</w:t>
            </w:r>
          </w:p>
        </w:tc>
      </w:tr>
      <w:tr w:rsidR="00397776" w:rsidRPr="00DF7C22" w14:paraId="041E2E79" w14:textId="77777777" w:rsidTr="00850A0F">
        <w:trPr>
          <w:cantSplit/>
        </w:trPr>
        <w:tc>
          <w:tcPr>
            <w:tcW w:w="1560" w:type="dxa"/>
            <w:vMerge/>
            <w:tcBorders>
              <w:top w:val="single" w:sz="4" w:space="0" w:color="FFFFFF" w:themeColor="background1"/>
              <w:bottom w:val="single" w:sz="4" w:space="0" w:color="FFFFFF" w:themeColor="background1"/>
              <w:right w:val="single" w:sz="4" w:space="0" w:color="A6A6A6" w:themeColor="background1" w:themeShade="A6"/>
            </w:tcBorders>
            <w:shd w:val="clear" w:color="auto" w:fill="D9D9D9" w:themeFill="background1" w:themeFillShade="D9"/>
            <w:hideMark/>
          </w:tcPr>
          <w:p w14:paraId="041E2E64" w14:textId="77777777" w:rsidR="003741ED" w:rsidRPr="00397776" w:rsidRDefault="003741ED" w:rsidP="00397776">
            <w:pPr>
              <w:pStyle w:val="TableText"/>
              <w:rPr>
                <w:b/>
                <w:lang w:eastAsia="en-NZ"/>
              </w:rPr>
            </w:pPr>
          </w:p>
        </w:tc>
        <w:tc>
          <w:tcPr>
            <w:tcW w:w="652" w:type="dxa"/>
            <w:tcBorders>
              <w:left w:val="single" w:sz="4" w:space="0" w:color="A6A6A6" w:themeColor="background1" w:themeShade="A6"/>
              <w:bottom w:val="single" w:sz="4" w:space="0" w:color="FFFFFF" w:themeColor="background1"/>
            </w:tcBorders>
            <w:shd w:val="clear" w:color="auto" w:fill="D9D9D9" w:themeFill="background1" w:themeFillShade="D9"/>
            <w:noWrap/>
            <w:hideMark/>
          </w:tcPr>
          <w:p w14:paraId="041E2E65" w14:textId="77777777" w:rsidR="003741ED" w:rsidRPr="00397776" w:rsidRDefault="003741ED" w:rsidP="00397776">
            <w:pPr>
              <w:pStyle w:val="TableText"/>
              <w:spacing w:before="0"/>
              <w:jc w:val="center"/>
              <w:rPr>
                <w:b/>
                <w:lang w:eastAsia="en-NZ"/>
              </w:rPr>
            </w:pPr>
            <w:r w:rsidRPr="00397776">
              <w:rPr>
                <w:b/>
                <w:lang w:eastAsia="en-NZ"/>
              </w:rPr>
              <w:t>Cases</w:t>
            </w:r>
          </w:p>
        </w:tc>
        <w:tc>
          <w:tcPr>
            <w:tcW w:w="652" w:type="dxa"/>
            <w:tcBorders>
              <w:bottom w:val="single" w:sz="4" w:space="0" w:color="FFFFFF" w:themeColor="background1"/>
              <w:right w:val="single" w:sz="4" w:space="0" w:color="A6A6A6" w:themeColor="background1" w:themeShade="A6"/>
            </w:tcBorders>
            <w:shd w:val="clear" w:color="auto" w:fill="D9D9D9" w:themeFill="background1" w:themeFillShade="D9"/>
            <w:noWrap/>
            <w:hideMark/>
          </w:tcPr>
          <w:p w14:paraId="041E2E66" w14:textId="77777777" w:rsidR="003741ED" w:rsidRPr="00397776" w:rsidRDefault="003741ED" w:rsidP="00397776">
            <w:pPr>
              <w:pStyle w:val="TableText"/>
              <w:spacing w:before="0"/>
              <w:jc w:val="center"/>
              <w:rPr>
                <w:b/>
                <w:vertAlign w:val="superscript"/>
                <w:lang w:eastAsia="en-NZ"/>
              </w:rPr>
            </w:pPr>
            <w:r w:rsidRPr="00397776">
              <w:rPr>
                <w:b/>
                <w:lang w:eastAsia="en-NZ"/>
              </w:rPr>
              <w:t>Rate</w:t>
            </w:r>
            <w:r w:rsidRPr="00397776">
              <w:rPr>
                <w:b/>
                <w:vertAlign w:val="superscript"/>
                <w:lang w:eastAsia="en-NZ"/>
              </w:rPr>
              <w:t>1</w:t>
            </w:r>
          </w:p>
        </w:tc>
        <w:tc>
          <w:tcPr>
            <w:tcW w:w="652" w:type="dxa"/>
            <w:tcBorders>
              <w:left w:val="single" w:sz="4" w:space="0" w:color="A6A6A6" w:themeColor="background1" w:themeShade="A6"/>
              <w:bottom w:val="single" w:sz="4" w:space="0" w:color="FFFFFF" w:themeColor="background1"/>
            </w:tcBorders>
            <w:shd w:val="clear" w:color="auto" w:fill="D9D9D9" w:themeFill="background1" w:themeFillShade="D9"/>
            <w:noWrap/>
            <w:hideMark/>
          </w:tcPr>
          <w:p w14:paraId="041E2E67" w14:textId="77777777" w:rsidR="003741ED" w:rsidRPr="00397776" w:rsidRDefault="003741ED" w:rsidP="00397776">
            <w:pPr>
              <w:pStyle w:val="TableText"/>
              <w:spacing w:before="0"/>
              <w:jc w:val="center"/>
              <w:rPr>
                <w:b/>
                <w:lang w:eastAsia="en-NZ"/>
              </w:rPr>
            </w:pPr>
            <w:r w:rsidRPr="00397776">
              <w:rPr>
                <w:b/>
                <w:lang w:eastAsia="en-NZ"/>
              </w:rPr>
              <w:t>Cases</w:t>
            </w:r>
          </w:p>
        </w:tc>
        <w:tc>
          <w:tcPr>
            <w:tcW w:w="652" w:type="dxa"/>
            <w:tcBorders>
              <w:bottom w:val="single" w:sz="4" w:space="0" w:color="FFFFFF" w:themeColor="background1"/>
              <w:right w:val="single" w:sz="4" w:space="0" w:color="A6A6A6" w:themeColor="background1" w:themeShade="A6"/>
            </w:tcBorders>
            <w:shd w:val="clear" w:color="auto" w:fill="D9D9D9" w:themeFill="background1" w:themeFillShade="D9"/>
            <w:noWrap/>
            <w:hideMark/>
          </w:tcPr>
          <w:p w14:paraId="041E2E68" w14:textId="77777777" w:rsidR="003741ED" w:rsidRPr="00397776" w:rsidRDefault="003741ED" w:rsidP="00397776">
            <w:pPr>
              <w:pStyle w:val="TableText"/>
              <w:spacing w:before="0"/>
              <w:jc w:val="center"/>
              <w:rPr>
                <w:b/>
                <w:lang w:eastAsia="en-NZ"/>
              </w:rPr>
            </w:pPr>
            <w:r w:rsidRPr="00397776">
              <w:rPr>
                <w:b/>
                <w:lang w:eastAsia="en-NZ"/>
              </w:rPr>
              <w:t>Rate</w:t>
            </w:r>
            <w:r w:rsidRPr="00397776">
              <w:rPr>
                <w:b/>
                <w:vertAlign w:val="superscript"/>
                <w:lang w:eastAsia="en-NZ"/>
              </w:rPr>
              <w:t>1</w:t>
            </w:r>
          </w:p>
        </w:tc>
        <w:tc>
          <w:tcPr>
            <w:tcW w:w="652" w:type="dxa"/>
            <w:tcBorders>
              <w:left w:val="single" w:sz="4" w:space="0" w:color="A6A6A6" w:themeColor="background1" w:themeShade="A6"/>
              <w:bottom w:val="single" w:sz="4" w:space="0" w:color="FFFFFF" w:themeColor="background1"/>
            </w:tcBorders>
            <w:shd w:val="clear" w:color="auto" w:fill="D9D9D9" w:themeFill="background1" w:themeFillShade="D9"/>
            <w:noWrap/>
            <w:hideMark/>
          </w:tcPr>
          <w:p w14:paraId="041E2E69" w14:textId="77777777" w:rsidR="003741ED" w:rsidRPr="00397776" w:rsidRDefault="003741ED" w:rsidP="00397776">
            <w:pPr>
              <w:pStyle w:val="TableText"/>
              <w:spacing w:before="0"/>
              <w:jc w:val="center"/>
              <w:rPr>
                <w:b/>
                <w:lang w:eastAsia="en-NZ"/>
              </w:rPr>
            </w:pPr>
            <w:r w:rsidRPr="00397776">
              <w:rPr>
                <w:b/>
                <w:lang w:eastAsia="en-NZ"/>
              </w:rPr>
              <w:t>Cases</w:t>
            </w:r>
          </w:p>
        </w:tc>
        <w:tc>
          <w:tcPr>
            <w:tcW w:w="652" w:type="dxa"/>
            <w:tcBorders>
              <w:bottom w:val="single" w:sz="4" w:space="0" w:color="FFFFFF" w:themeColor="background1"/>
              <w:right w:val="single" w:sz="4" w:space="0" w:color="A6A6A6" w:themeColor="background1" w:themeShade="A6"/>
            </w:tcBorders>
            <w:shd w:val="clear" w:color="auto" w:fill="D9D9D9" w:themeFill="background1" w:themeFillShade="D9"/>
            <w:noWrap/>
            <w:hideMark/>
          </w:tcPr>
          <w:p w14:paraId="041E2E6A" w14:textId="77777777" w:rsidR="003741ED" w:rsidRPr="00397776" w:rsidRDefault="003741ED" w:rsidP="00397776">
            <w:pPr>
              <w:pStyle w:val="TableText"/>
              <w:spacing w:before="0"/>
              <w:jc w:val="center"/>
              <w:rPr>
                <w:b/>
                <w:lang w:eastAsia="en-NZ"/>
              </w:rPr>
            </w:pPr>
            <w:r w:rsidRPr="00397776">
              <w:rPr>
                <w:b/>
                <w:lang w:eastAsia="en-NZ"/>
              </w:rPr>
              <w:t>Rate</w:t>
            </w:r>
            <w:r w:rsidRPr="00397776">
              <w:rPr>
                <w:b/>
                <w:vertAlign w:val="superscript"/>
                <w:lang w:eastAsia="en-NZ"/>
              </w:rPr>
              <w:t>1</w:t>
            </w:r>
          </w:p>
        </w:tc>
        <w:tc>
          <w:tcPr>
            <w:tcW w:w="652" w:type="dxa"/>
            <w:tcBorders>
              <w:left w:val="single" w:sz="4" w:space="0" w:color="A6A6A6" w:themeColor="background1" w:themeShade="A6"/>
              <w:bottom w:val="single" w:sz="4" w:space="0" w:color="FFFFFF" w:themeColor="background1"/>
            </w:tcBorders>
            <w:shd w:val="clear" w:color="auto" w:fill="D9D9D9" w:themeFill="background1" w:themeFillShade="D9"/>
            <w:noWrap/>
            <w:hideMark/>
          </w:tcPr>
          <w:p w14:paraId="041E2E6B" w14:textId="77777777" w:rsidR="003741ED" w:rsidRPr="00397776" w:rsidRDefault="003741ED" w:rsidP="00397776">
            <w:pPr>
              <w:pStyle w:val="TableText"/>
              <w:spacing w:before="0"/>
              <w:jc w:val="center"/>
              <w:rPr>
                <w:b/>
                <w:lang w:eastAsia="en-NZ"/>
              </w:rPr>
            </w:pPr>
            <w:r w:rsidRPr="00397776">
              <w:rPr>
                <w:b/>
                <w:lang w:eastAsia="en-NZ"/>
              </w:rPr>
              <w:t>Cases</w:t>
            </w:r>
          </w:p>
        </w:tc>
        <w:tc>
          <w:tcPr>
            <w:tcW w:w="652" w:type="dxa"/>
            <w:tcBorders>
              <w:bottom w:val="single" w:sz="4" w:space="0" w:color="FFFFFF" w:themeColor="background1"/>
              <w:right w:val="single" w:sz="4" w:space="0" w:color="A6A6A6" w:themeColor="background1" w:themeShade="A6"/>
            </w:tcBorders>
            <w:shd w:val="clear" w:color="auto" w:fill="D9D9D9" w:themeFill="background1" w:themeFillShade="D9"/>
            <w:noWrap/>
            <w:hideMark/>
          </w:tcPr>
          <w:p w14:paraId="041E2E6C" w14:textId="77777777" w:rsidR="003741ED" w:rsidRPr="00397776" w:rsidRDefault="003741ED" w:rsidP="00397776">
            <w:pPr>
              <w:pStyle w:val="TableText"/>
              <w:spacing w:before="0"/>
              <w:jc w:val="center"/>
              <w:rPr>
                <w:b/>
                <w:lang w:eastAsia="en-NZ"/>
              </w:rPr>
            </w:pPr>
            <w:r w:rsidRPr="00397776">
              <w:rPr>
                <w:b/>
                <w:lang w:eastAsia="en-NZ"/>
              </w:rPr>
              <w:t>Rate</w:t>
            </w:r>
            <w:r w:rsidRPr="00397776">
              <w:rPr>
                <w:b/>
                <w:vertAlign w:val="superscript"/>
                <w:lang w:eastAsia="en-NZ"/>
              </w:rPr>
              <w:t>1</w:t>
            </w:r>
          </w:p>
        </w:tc>
        <w:tc>
          <w:tcPr>
            <w:tcW w:w="652" w:type="dxa"/>
            <w:tcBorders>
              <w:left w:val="single" w:sz="4" w:space="0" w:color="A6A6A6" w:themeColor="background1" w:themeShade="A6"/>
              <w:bottom w:val="single" w:sz="4" w:space="0" w:color="FFFFFF" w:themeColor="background1"/>
            </w:tcBorders>
            <w:shd w:val="clear" w:color="auto" w:fill="D9D9D9" w:themeFill="background1" w:themeFillShade="D9"/>
            <w:noWrap/>
            <w:hideMark/>
          </w:tcPr>
          <w:p w14:paraId="041E2E6D" w14:textId="77777777" w:rsidR="003741ED" w:rsidRPr="00397776" w:rsidRDefault="003741ED" w:rsidP="00397776">
            <w:pPr>
              <w:pStyle w:val="TableText"/>
              <w:spacing w:before="0"/>
              <w:jc w:val="center"/>
              <w:rPr>
                <w:b/>
                <w:lang w:eastAsia="en-NZ"/>
              </w:rPr>
            </w:pPr>
            <w:r w:rsidRPr="00397776">
              <w:rPr>
                <w:b/>
                <w:lang w:eastAsia="en-NZ"/>
              </w:rPr>
              <w:t>Cases</w:t>
            </w:r>
          </w:p>
        </w:tc>
        <w:tc>
          <w:tcPr>
            <w:tcW w:w="652" w:type="dxa"/>
            <w:tcBorders>
              <w:bottom w:val="single" w:sz="4" w:space="0" w:color="FFFFFF" w:themeColor="background1"/>
              <w:right w:val="single" w:sz="4" w:space="0" w:color="A6A6A6" w:themeColor="background1" w:themeShade="A6"/>
            </w:tcBorders>
            <w:shd w:val="clear" w:color="auto" w:fill="D9D9D9" w:themeFill="background1" w:themeFillShade="D9"/>
            <w:noWrap/>
            <w:hideMark/>
          </w:tcPr>
          <w:p w14:paraId="041E2E6E" w14:textId="77777777" w:rsidR="003741ED" w:rsidRPr="00397776" w:rsidRDefault="003741ED" w:rsidP="00397776">
            <w:pPr>
              <w:pStyle w:val="TableText"/>
              <w:spacing w:before="0"/>
              <w:jc w:val="center"/>
              <w:rPr>
                <w:b/>
                <w:lang w:eastAsia="en-NZ"/>
              </w:rPr>
            </w:pPr>
            <w:r w:rsidRPr="00397776">
              <w:rPr>
                <w:b/>
                <w:lang w:eastAsia="en-NZ"/>
              </w:rPr>
              <w:t>Rate</w:t>
            </w:r>
            <w:r w:rsidRPr="00397776">
              <w:rPr>
                <w:b/>
                <w:vertAlign w:val="superscript"/>
                <w:lang w:eastAsia="en-NZ"/>
              </w:rPr>
              <w:t>1</w:t>
            </w:r>
          </w:p>
        </w:tc>
        <w:tc>
          <w:tcPr>
            <w:tcW w:w="652" w:type="dxa"/>
            <w:tcBorders>
              <w:left w:val="single" w:sz="4" w:space="0" w:color="A6A6A6" w:themeColor="background1" w:themeShade="A6"/>
              <w:bottom w:val="single" w:sz="4" w:space="0" w:color="FFFFFF" w:themeColor="background1"/>
            </w:tcBorders>
            <w:shd w:val="clear" w:color="auto" w:fill="D9D9D9" w:themeFill="background1" w:themeFillShade="D9"/>
            <w:noWrap/>
            <w:hideMark/>
          </w:tcPr>
          <w:p w14:paraId="041E2E6F" w14:textId="77777777" w:rsidR="003741ED" w:rsidRPr="00397776" w:rsidRDefault="003741ED" w:rsidP="00397776">
            <w:pPr>
              <w:pStyle w:val="TableText"/>
              <w:spacing w:before="0"/>
              <w:jc w:val="center"/>
              <w:rPr>
                <w:b/>
                <w:lang w:eastAsia="en-NZ"/>
              </w:rPr>
            </w:pPr>
            <w:r w:rsidRPr="00397776">
              <w:rPr>
                <w:b/>
                <w:lang w:eastAsia="en-NZ"/>
              </w:rPr>
              <w:t>Cases</w:t>
            </w:r>
          </w:p>
        </w:tc>
        <w:tc>
          <w:tcPr>
            <w:tcW w:w="652" w:type="dxa"/>
            <w:tcBorders>
              <w:bottom w:val="single" w:sz="4" w:space="0" w:color="FFFFFF" w:themeColor="background1"/>
              <w:right w:val="single" w:sz="4" w:space="0" w:color="A6A6A6" w:themeColor="background1" w:themeShade="A6"/>
            </w:tcBorders>
            <w:shd w:val="clear" w:color="auto" w:fill="D9D9D9" w:themeFill="background1" w:themeFillShade="D9"/>
            <w:noWrap/>
            <w:hideMark/>
          </w:tcPr>
          <w:p w14:paraId="041E2E70" w14:textId="77777777" w:rsidR="003741ED" w:rsidRPr="00397776" w:rsidRDefault="003741ED" w:rsidP="00397776">
            <w:pPr>
              <w:pStyle w:val="TableText"/>
              <w:spacing w:before="0"/>
              <w:jc w:val="center"/>
              <w:rPr>
                <w:b/>
                <w:lang w:eastAsia="en-NZ"/>
              </w:rPr>
            </w:pPr>
            <w:r w:rsidRPr="00397776">
              <w:rPr>
                <w:b/>
                <w:lang w:eastAsia="en-NZ"/>
              </w:rPr>
              <w:t>Rate</w:t>
            </w:r>
            <w:r w:rsidRPr="00397776">
              <w:rPr>
                <w:b/>
                <w:vertAlign w:val="superscript"/>
                <w:lang w:eastAsia="en-NZ"/>
              </w:rPr>
              <w:t>1</w:t>
            </w:r>
          </w:p>
        </w:tc>
        <w:tc>
          <w:tcPr>
            <w:tcW w:w="652" w:type="dxa"/>
            <w:tcBorders>
              <w:left w:val="single" w:sz="4" w:space="0" w:color="A6A6A6" w:themeColor="background1" w:themeShade="A6"/>
              <w:bottom w:val="single" w:sz="4" w:space="0" w:color="FFFFFF" w:themeColor="background1"/>
            </w:tcBorders>
            <w:shd w:val="clear" w:color="auto" w:fill="D9D9D9" w:themeFill="background1" w:themeFillShade="D9"/>
            <w:noWrap/>
            <w:hideMark/>
          </w:tcPr>
          <w:p w14:paraId="041E2E71" w14:textId="77777777" w:rsidR="003741ED" w:rsidRPr="00397776" w:rsidRDefault="003741ED" w:rsidP="00397776">
            <w:pPr>
              <w:pStyle w:val="TableText"/>
              <w:spacing w:before="0"/>
              <w:jc w:val="center"/>
              <w:rPr>
                <w:b/>
                <w:lang w:eastAsia="en-NZ"/>
              </w:rPr>
            </w:pPr>
            <w:r w:rsidRPr="00397776">
              <w:rPr>
                <w:b/>
                <w:lang w:eastAsia="en-NZ"/>
              </w:rPr>
              <w:t>Cases</w:t>
            </w:r>
          </w:p>
        </w:tc>
        <w:tc>
          <w:tcPr>
            <w:tcW w:w="652" w:type="dxa"/>
            <w:tcBorders>
              <w:bottom w:val="single" w:sz="4" w:space="0" w:color="FFFFFF" w:themeColor="background1"/>
              <w:right w:val="single" w:sz="4" w:space="0" w:color="A6A6A6" w:themeColor="background1" w:themeShade="A6"/>
            </w:tcBorders>
            <w:shd w:val="clear" w:color="auto" w:fill="D9D9D9" w:themeFill="background1" w:themeFillShade="D9"/>
            <w:noWrap/>
            <w:hideMark/>
          </w:tcPr>
          <w:p w14:paraId="041E2E72" w14:textId="77777777" w:rsidR="003741ED" w:rsidRPr="00397776" w:rsidRDefault="003741ED" w:rsidP="00397776">
            <w:pPr>
              <w:pStyle w:val="TableText"/>
              <w:spacing w:before="0"/>
              <w:jc w:val="center"/>
              <w:rPr>
                <w:b/>
                <w:lang w:eastAsia="en-NZ"/>
              </w:rPr>
            </w:pPr>
            <w:r w:rsidRPr="00397776">
              <w:rPr>
                <w:b/>
                <w:lang w:eastAsia="en-NZ"/>
              </w:rPr>
              <w:t>Rate</w:t>
            </w:r>
            <w:r w:rsidRPr="00397776">
              <w:rPr>
                <w:b/>
                <w:vertAlign w:val="superscript"/>
                <w:lang w:eastAsia="en-NZ"/>
              </w:rPr>
              <w:t>1</w:t>
            </w:r>
          </w:p>
        </w:tc>
        <w:tc>
          <w:tcPr>
            <w:tcW w:w="652" w:type="dxa"/>
            <w:tcBorders>
              <w:left w:val="single" w:sz="4" w:space="0" w:color="A6A6A6" w:themeColor="background1" w:themeShade="A6"/>
              <w:bottom w:val="single" w:sz="4" w:space="0" w:color="FFFFFF" w:themeColor="background1"/>
            </w:tcBorders>
            <w:shd w:val="clear" w:color="auto" w:fill="D9D9D9" w:themeFill="background1" w:themeFillShade="D9"/>
            <w:noWrap/>
            <w:hideMark/>
          </w:tcPr>
          <w:p w14:paraId="041E2E73" w14:textId="77777777" w:rsidR="003741ED" w:rsidRPr="00397776" w:rsidRDefault="003741ED" w:rsidP="00397776">
            <w:pPr>
              <w:pStyle w:val="TableText"/>
              <w:spacing w:before="0"/>
              <w:jc w:val="center"/>
              <w:rPr>
                <w:b/>
                <w:lang w:eastAsia="en-NZ"/>
              </w:rPr>
            </w:pPr>
            <w:r w:rsidRPr="00397776">
              <w:rPr>
                <w:b/>
                <w:lang w:eastAsia="en-NZ"/>
              </w:rPr>
              <w:t>Cases</w:t>
            </w:r>
          </w:p>
        </w:tc>
        <w:tc>
          <w:tcPr>
            <w:tcW w:w="652" w:type="dxa"/>
            <w:tcBorders>
              <w:bottom w:val="single" w:sz="4" w:space="0" w:color="FFFFFF" w:themeColor="background1"/>
              <w:right w:val="single" w:sz="4" w:space="0" w:color="A6A6A6" w:themeColor="background1" w:themeShade="A6"/>
            </w:tcBorders>
            <w:shd w:val="clear" w:color="auto" w:fill="D9D9D9" w:themeFill="background1" w:themeFillShade="D9"/>
            <w:noWrap/>
            <w:hideMark/>
          </w:tcPr>
          <w:p w14:paraId="041E2E74" w14:textId="77777777" w:rsidR="003741ED" w:rsidRPr="00397776" w:rsidRDefault="003741ED" w:rsidP="00397776">
            <w:pPr>
              <w:pStyle w:val="TableText"/>
              <w:spacing w:before="0"/>
              <w:jc w:val="center"/>
              <w:rPr>
                <w:b/>
                <w:lang w:eastAsia="en-NZ"/>
              </w:rPr>
            </w:pPr>
            <w:r w:rsidRPr="00397776">
              <w:rPr>
                <w:b/>
                <w:lang w:eastAsia="en-NZ"/>
              </w:rPr>
              <w:t>Rate</w:t>
            </w:r>
            <w:r w:rsidRPr="00397776">
              <w:rPr>
                <w:b/>
                <w:vertAlign w:val="superscript"/>
                <w:lang w:eastAsia="en-NZ"/>
              </w:rPr>
              <w:t>1</w:t>
            </w:r>
          </w:p>
        </w:tc>
        <w:tc>
          <w:tcPr>
            <w:tcW w:w="652" w:type="dxa"/>
            <w:tcBorders>
              <w:left w:val="single" w:sz="4" w:space="0" w:color="A6A6A6" w:themeColor="background1" w:themeShade="A6"/>
              <w:bottom w:val="single" w:sz="4" w:space="0" w:color="FFFFFF" w:themeColor="background1"/>
            </w:tcBorders>
            <w:shd w:val="clear" w:color="auto" w:fill="D9D9D9" w:themeFill="background1" w:themeFillShade="D9"/>
            <w:noWrap/>
            <w:hideMark/>
          </w:tcPr>
          <w:p w14:paraId="041E2E75" w14:textId="77777777" w:rsidR="003741ED" w:rsidRPr="00397776" w:rsidRDefault="003741ED" w:rsidP="00397776">
            <w:pPr>
              <w:pStyle w:val="TableText"/>
              <w:spacing w:before="0"/>
              <w:jc w:val="center"/>
              <w:rPr>
                <w:b/>
                <w:lang w:eastAsia="en-NZ"/>
              </w:rPr>
            </w:pPr>
            <w:r w:rsidRPr="00397776">
              <w:rPr>
                <w:b/>
                <w:lang w:eastAsia="en-NZ"/>
              </w:rPr>
              <w:t>Cases</w:t>
            </w:r>
          </w:p>
        </w:tc>
        <w:tc>
          <w:tcPr>
            <w:tcW w:w="652" w:type="dxa"/>
            <w:tcBorders>
              <w:bottom w:val="single" w:sz="4" w:space="0" w:color="FFFFFF" w:themeColor="background1"/>
              <w:right w:val="single" w:sz="4" w:space="0" w:color="A6A6A6" w:themeColor="background1" w:themeShade="A6"/>
            </w:tcBorders>
            <w:shd w:val="clear" w:color="auto" w:fill="D9D9D9" w:themeFill="background1" w:themeFillShade="D9"/>
            <w:noWrap/>
            <w:hideMark/>
          </w:tcPr>
          <w:p w14:paraId="041E2E76" w14:textId="77777777" w:rsidR="003741ED" w:rsidRPr="00397776" w:rsidRDefault="003741ED" w:rsidP="00397776">
            <w:pPr>
              <w:pStyle w:val="TableText"/>
              <w:spacing w:before="0"/>
              <w:jc w:val="center"/>
              <w:rPr>
                <w:b/>
                <w:lang w:eastAsia="en-NZ"/>
              </w:rPr>
            </w:pPr>
            <w:r w:rsidRPr="00397776">
              <w:rPr>
                <w:b/>
                <w:lang w:eastAsia="en-NZ"/>
              </w:rPr>
              <w:t>Rate</w:t>
            </w:r>
            <w:r w:rsidRPr="00397776">
              <w:rPr>
                <w:b/>
                <w:vertAlign w:val="superscript"/>
                <w:lang w:eastAsia="en-NZ"/>
              </w:rPr>
              <w:t>1</w:t>
            </w:r>
          </w:p>
        </w:tc>
        <w:tc>
          <w:tcPr>
            <w:tcW w:w="652" w:type="dxa"/>
            <w:tcBorders>
              <w:left w:val="single" w:sz="4" w:space="0" w:color="A6A6A6" w:themeColor="background1" w:themeShade="A6"/>
              <w:bottom w:val="single" w:sz="4" w:space="0" w:color="FFFFFF" w:themeColor="background1"/>
            </w:tcBorders>
            <w:shd w:val="clear" w:color="auto" w:fill="D9D9D9" w:themeFill="background1" w:themeFillShade="D9"/>
            <w:noWrap/>
            <w:hideMark/>
          </w:tcPr>
          <w:p w14:paraId="041E2E77" w14:textId="77777777" w:rsidR="003741ED" w:rsidRPr="00397776" w:rsidRDefault="003741ED" w:rsidP="00397776">
            <w:pPr>
              <w:pStyle w:val="TableText"/>
              <w:spacing w:before="0"/>
              <w:jc w:val="center"/>
              <w:rPr>
                <w:b/>
                <w:lang w:eastAsia="en-NZ"/>
              </w:rPr>
            </w:pPr>
            <w:r w:rsidRPr="00397776">
              <w:rPr>
                <w:b/>
                <w:lang w:eastAsia="en-NZ"/>
              </w:rPr>
              <w:t>Cases</w:t>
            </w:r>
          </w:p>
        </w:tc>
        <w:tc>
          <w:tcPr>
            <w:tcW w:w="653" w:type="dxa"/>
            <w:tcBorders>
              <w:bottom w:val="single" w:sz="4" w:space="0" w:color="FFFFFF" w:themeColor="background1"/>
            </w:tcBorders>
            <w:shd w:val="clear" w:color="auto" w:fill="D9D9D9" w:themeFill="background1" w:themeFillShade="D9"/>
            <w:noWrap/>
            <w:hideMark/>
          </w:tcPr>
          <w:p w14:paraId="041E2E78" w14:textId="77777777" w:rsidR="003741ED" w:rsidRPr="00397776" w:rsidRDefault="003741ED" w:rsidP="00397776">
            <w:pPr>
              <w:pStyle w:val="TableText"/>
              <w:spacing w:before="0"/>
              <w:jc w:val="center"/>
              <w:rPr>
                <w:b/>
                <w:lang w:eastAsia="en-NZ"/>
              </w:rPr>
            </w:pPr>
            <w:r w:rsidRPr="00397776">
              <w:rPr>
                <w:b/>
                <w:lang w:eastAsia="en-NZ"/>
              </w:rPr>
              <w:t>Rate</w:t>
            </w:r>
            <w:r w:rsidRPr="00397776">
              <w:rPr>
                <w:b/>
                <w:vertAlign w:val="superscript"/>
                <w:lang w:eastAsia="en-NZ"/>
              </w:rPr>
              <w:t>1</w:t>
            </w:r>
          </w:p>
        </w:tc>
      </w:tr>
      <w:tr w:rsidR="00850A0F" w:rsidRPr="00DF7C22" w14:paraId="041E2E8F" w14:textId="77777777" w:rsidTr="00850A0F">
        <w:trPr>
          <w:cantSplit/>
        </w:trPr>
        <w:tc>
          <w:tcPr>
            <w:tcW w:w="1560" w:type="dxa"/>
            <w:tcBorders>
              <w:top w:val="single" w:sz="4" w:space="0" w:color="FFFFFF" w:themeColor="background1"/>
              <w:bottom w:val="single" w:sz="4" w:space="0" w:color="A6A6A6" w:themeColor="background1" w:themeShade="A6"/>
              <w:right w:val="single" w:sz="4" w:space="0" w:color="A6A6A6" w:themeColor="background1" w:themeShade="A6"/>
            </w:tcBorders>
            <w:shd w:val="clear" w:color="auto" w:fill="auto"/>
            <w:noWrap/>
            <w:hideMark/>
          </w:tcPr>
          <w:p w14:paraId="041E2E7A" w14:textId="77777777" w:rsidR="003741ED" w:rsidRPr="00DF7C22" w:rsidRDefault="003741ED" w:rsidP="00397776">
            <w:pPr>
              <w:pStyle w:val="TableText"/>
              <w:rPr>
                <w:lang w:eastAsia="en-NZ"/>
              </w:rPr>
            </w:pPr>
            <w:r w:rsidRPr="00DF7C22">
              <w:rPr>
                <w:lang w:eastAsia="en-NZ"/>
              </w:rPr>
              <w:t>Campylobacteriosis</w:t>
            </w:r>
          </w:p>
        </w:tc>
        <w:tc>
          <w:tcPr>
            <w:tcW w:w="652" w:type="dxa"/>
            <w:tcBorders>
              <w:top w:val="single" w:sz="4" w:space="0" w:color="FFFFFF" w:themeColor="background1"/>
              <w:left w:val="single" w:sz="4" w:space="0" w:color="A6A6A6" w:themeColor="background1" w:themeShade="A6"/>
              <w:bottom w:val="single" w:sz="4" w:space="0" w:color="A6A6A6" w:themeColor="background1" w:themeShade="A6"/>
            </w:tcBorders>
            <w:shd w:val="clear" w:color="auto" w:fill="auto"/>
            <w:noWrap/>
            <w:hideMark/>
          </w:tcPr>
          <w:p w14:paraId="041E2E7B" w14:textId="77777777" w:rsidR="003741ED" w:rsidRPr="00DF7C22" w:rsidRDefault="003741ED" w:rsidP="00850A0F">
            <w:pPr>
              <w:pStyle w:val="TableText"/>
              <w:tabs>
                <w:tab w:val="decimal" w:pos="510"/>
              </w:tabs>
              <w:rPr>
                <w:lang w:eastAsia="en-NZ"/>
              </w:rPr>
            </w:pPr>
            <w:r w:rsidRPr="00DF7C22">
              <w:rPr>
                <w:lang w:eastAsia="en-NZ"/>
              </w:rPr>
              <w:t>12,215</w:t>
            </w:r>
          </w:p>
        </w:tc>
        <w:tc>
          <w:tcPr>
            <w:tcW w:w="652" w:type="dxa"/>
            <w:tcBorders>
              <w:top w:val="single" w:sz="4" w:space="0" w:color="FFFFFF" w:themeColor="background1"/>
              <w:bottom w:val="single" w:sz="4" w:space="0" w:color="A6A6A6" w:themeColor="background1" w:themeShade="A6"/>
              <w:right w:val="single" w:sz="4" w:space="0" w:color="A6A6A6" w:themeColor="background1" w:themeShade="A6"/>
            </w:tcBorders>
            <w:shd w:val="clear" w:color="auto" w:fill="auto"/>
            <w:noWrap/>
            <w:hideMark/>
          </w:tcPr>
          <w:p w14:paraId="041E2E7C" w14:textId="77777777" w:rsidR="003741ED" w:rsidRPr="00DF7C22" w:rsidRDefault="003741ED" w:rsidP="00850A0F">
            <w:pPr>
              <w:pStyle w:val="TableText"/>
              <w:tabs>
                <w:tab w:val="decimal" w:pos="369"/>
              </w:tabs>
              <w:rPr>
                <w:lang w:eastAsia="en-NZ"/>
              </w:rPr>
            </w:pPr>
            <w:r w:rsidRPr="00DF7C22">
              <w:rPr>
                <w:lang w:eastAsia="en-NZ"/>
              </w:rPr>
              <w:t>298.8</w:t>
            </w:r>
          </w:p>
        </w:tc>
        <w:tc>
          <w:tcPr>
            <w:tcW w:w="652" w:type="dxa"/>
            <w:tcBorders>
              <w:top w:val="single" w:sz="4" w:space="0" w:color="FFFFFF" w:themeColor="background1"/>
              <w:left w:val="single" w:sz="4" w:space="0" w:color="A6A6A6" w:themeColor="background1" w:themeShade="A6"/>
              <w:bottom w:val="single" w:sz="4" w:space="0" w:color="A6A6A6" w:themeColor="background1" w:themeShade="A6"/>
            </w:tcBorders>
            <w:shd w:val="clear" w:color="auto" w:fill="auto"/>
            <w:noWrap/>
            <w:hideMark/>
          </w:tcPr>
          <w:p w14:paraId="041E2E7D" w14:textId="77777777" w:rsidR="003741ED" w:rsidRPr="00DF7C22" w:rsidRDefault="003741ED" w:rsidP="00850A0F">
            <w:pPr>
              <w:pStyle w:val="TableText"/>
              <w:tabs>
                <w:tab w:val="decimal" w:pos="510"/>
              </w:tabs>
              <w:rPr>
                <w:lang w:eastAsia="en-NZ"/>
              </w:rPr>
            </w:pPr>
            <w:r w:rsidRPr="00DF7C22">
              <w:rPr>
                <w:lang w:eastAsia="en-NZ"/>
              </w:rPr>
              <w:t>13</w:t>
            </w:r>
            <w:r>
              <w:rPr>
                <w:lang w:eastAsia="en-NZ"/>
              </w:rPr>
              <w:t>,</w:t>
            </w:r>
            <w:r w:rsidRPr="00DF7C22">
              <w:rPr>
                <w:lang w:eastAsia="en-NZ"/>
              </w:rPr>
              <w:t>836</w:t>
            </w:r>
          </w:p>
        </w:tc>
        <w:tc>
          <w:tcPr>
            <w:tcW w:w="652" w:type="dxa"/>
            <w:tcBorders>
              <w:top w:val="single" w:sz="4" w:space="0" w:color="FFFFFF" w:themeColor="background1"/>
              <w:bottom w:val="single" w:sz="4" w:space="0" w:color="A6A6A6" w:themeColor="background1" w:themeShade="A6"/>
              <w:right w:val="single" w:sz="4" w:space="0" w:color="A6A6A6" w:themeColor="background1" w:themeShade="A6"/>
            </w:tcBorders>
            <w:shd w:val="clear" w:color="auto" w:fill="auto"/>
            <w:noWrap/>
            <w:hideMark/>
          </w:tcPr>
          <w:p w14:paraId="041E2E7E" w14:textId="77777777" w:rsidR="003741ED" w:rsidRPr="00DF7C22" w:rsidRDefault="003741ED" w:rsidP="00850A0F">
            <w:pPr>
              <w:pStyle w:val="TableText"/>
              <w:tabs>
                <w:tab w:val="decimal" w:pos="369"/>
              </w:tabs>
              <w:rPr>
                <w:lang w:eastAsia="en-NZ"/>
              </w:rPr>
            </w:pPr>
            <w:r w:rsidRPr="00DF7C22">
              <w:rPr>
                <w:lang w:eastAsia="en-NZ"/>
              </w:rPr>
              <w:t>334.7</w:t>
            </w:r>
          </w:p>
        </w:tc>
        <w:tc>
          <w:tcPr>
            <w:tcW w:w="652" w:type="dxa"/>
            <w:tcBorders>
              <w:top w:val="single" w:sz="4" w:space="0" w:color="FFFFFF" w:themeColor="background1"/>
              <w:left w:val="single" w:sz="4" w:space="0" w:color="A6A6A6" w:themeColor="background1" w:themeShade="A6"/>
              <w:bottom w:val="single" w:sz="4" w:space="0" w:color="A6A6A6" w:themeColor="background1" w:themeShade="A6"/>
            </w:tcBorders>
            <w:shd w:val="clear" w:color="auto" w:fill="auto"/>
            <w:noWrap/>
            <w:hideMark/>
          </w:tcPr>
          <w:p w14:paraId="041E2E7F" w14:textId="77777777" w:rsidR="003741ED" w:rsidRPr="00DF7C22" w:rsidRDefault="003741ED" w:rsidP="00850A0F">
            <w:pPr>
              <w:pStyle w:val="TableText"/>
              <w:tabs>
                <w:tab w:val="decimal" w:pos="510"/>
              </w:tabs>
              <w:rPr>
                <w:lang w:eastAsia="en-NZ"/>
              </w:rPr>
            </w:pPr>
            <w:r w:rsidRPr="00DF7C22">
              <w:rPr>
                <w:lang w:eastAsia="en-NZ"/>
              </w:rPr>
              <w:t>15</w:t>
            </w:r>
            <w:r>
              <w:rPr>
                <w:lang w:eastAsia="en-NZ"/>
              </w:rPr>
              <w:t>,</w:t>
            </w:r>
            <w:r w:rsidRPr="00DF7C22">
              <w:rPr>
                <w:lang w:eastAsia="en-NZ"/>
              </w:rPr>
              <w:t>873</w:t>
            </w:r>
          </w:p>
        </w:tc>
        <w:tc>
          <w:tcPr>
            <w:tcW w:w="652" w:type="dxa"/>
            <w:tcBorders>
              <w:top w:val="single" w:sz="4" w:space="0" w:color="FFFFFF" w:themeColor="background1"/>
              <w:bottom w:val="single" w:sz="4" w:space="0" w:color="A6A6A6" w:themeColor="background1" w:themeShade="A6"/>
              <w:right w:val="single" w:sz="4" w:space="0" w:color="A6A6A6" w:themeColor="background1" w:themeShade="A6"/>
            </w:tcBorders>
            <w:shd w:val="clear" w:color="auto" w:fill="auto"/>
            <w:noWrap/>
            <w:hideMark/>
          </w:tcPr>
          <w:p w14:paraId="041E2E80" w14:textId="77777777" w:rsidR="003741ED" w:rsidRPr="00DF7C22" w:rsidRDefault="003741ED" w:rsidP="00850A0F">
            <w:pPr>
              <w:pStyle w:val="TableText"/>
              <w:tabs>
                <w:tab w:val="decimal" w:pos="369"/>
              </w:tabs>
              <w:rPr>
                <w:lang w:eastAsia="en-NZ"/>
              </w:rPr>
            </w:pPr>
            <w:r w:rsidRPr="00DF7C22">
              <w:rPr>
                <w:lang w:eastAsia="en-NZ"/>
              </w:rPr>
              <w:t>379.3</w:t>
            </w:r>
          </w:p>
        </w:tc>
        <w:tc>
          <w:tcPr>
            <w:tcW w:w="652" w:type="dxa"/>
            <w:tcBorders>
              <w:top w:val="single" w:sz="4" w:space="0" w:color="FFFFFF" w:themeColor="background1"/>
              <w:left w:val="single" w:sz="4" w:space="0" w:color="A6A6A6" w:themeColor="background1" w:themeShade="A6"/>
              <w:bottom w:val="single" w:sz="4" w:space="0" w:color="A6A6A6" w:themeColor="background1" w:themeShade="A6"/>
            </w:tcBorders>
            <w:shd w:val="clear" w:color="auto" w:fill="auto"/>
            <w:noWrap/>
            <w:hideMark/>
          </w:tcPr>
          <w:p w14:paraId="041E2E81" w14:textId="77777777" w:rsidR="003741ED" w:rsidRPr="00DF7C22" w:rsidRDefault="003741ED" w:rsidP="00850A0F">
            <w:pPr>
              <w:pStyle w:val="TableText"/>
              <w:tabs>
                <w:tab w:val="decimal" w:pos="510"/>
              </w:tabs>
              <w:rPr>
                <w:lang w:eastAsia="en-NZ"/>
              </w:rPr>
            </w:pPr>
            <w:r w:rsidRPr="00DF7C22">
              <w:rPr>
                <w:lang w:eastAsia="en-NZ"/>
              </w:rPr>
              <w:t>12</w:t>
            </w:r>
            <w:r>
              <w:rPr>
                <w:lang w:eastAsia="en-NZ"/>
              </w:rPr>
              <w:t>,</w:t>
            </w:r>
            <w:r w:rsidRPr="00DF7C22">
              <w:rPr>
                <w:lang w:eastAsia="en-NZ"/>
              </w:rPr>
              <w:t>778</w:t>
            </w:r>
          </w:p>
        </w:tc>
        <w:tc>
          <w:tcPr>
            <w:tcW w:w="652" w:type="dxa"/>
            <w:tcBorders>
              <w:top w:val="single" w:sz="4" w:space="0" w:color="FFFFFF" w:themeColor="background1"/>
              <w:bottom w:val="single" w:sz="4" w:space="0" w:color="A6A6A6" w:themeColor="background1" w:themeShade="A6"/>
              <w:right w:val="single" w:sz="4" w:space="0" w:color="A6A6A6" w:themeColor="background1" w:themeShade="A6"/>
            </w:tcBorders>
            <w:shd w:val="clear" w:color="auto" w:fill="auto"/>
            <w:noWrap/>
            <w:hideMark/>
          </w:tcPr>
          <w:p w14:paraId="041E2E82" w14:textId="77777777" w:rsidR="003741ED" w:rsidRPr="00DF7C22" w:rsidRDefault="003741ED" w:rsidP="00850A0F">
            <w:pPr>
              <w:pStyle w:val="TableText"/>
              <w:tabs>
                <w:tab w:val="decimal" w:pos="369"/>
              </w:tabs>
              <w:rPr>
                <w:lang w:eastAsia="en-NZ"/>
              </w:rPr>
            </w:pPr>
            <w:r w:rsidRPr="00DF7C22">
              <w:rPr>
                <w:lang w:eastAsia="en-NZ"/>
              </w:rPr>
              <w:t>302.2</w:t>
            </w:r>
          </w:p>
        </w:tc>
        <w:tc>
          <w:tcPr>
            <w:tcW w:w="652" w:type="dxa"/>
            <w:tcBorders>
              <w:top w:val="single" w:sz="4" w:space="0" w:color="FFFFFF" w:themeColor="background1"/>
              <w:left w:val="single" w:sz="4" w:space="0" w:color="A6A6A6" w:themeColor="background1" w:themeShade="A6"/>
              <w:bottom w:val="single" w:sz="4" w:space="0" w:color="A6A6A6" w:themeColor="background1" w:themeShade="A6"/>
            </w:tcBorders>
            <w:shd w:val="clear" w:color="auto" w:fill="auto"/>
            <w:noWrap/>
            <w:hideMark/>
          </w:tcPr>
          <w:p w14:paraId="041E2E83" w14:textId="77777777" w:rsidR="003741ED" w:rsidRPr="00DF7C22" w:rsidRDefault="003741ED" w:rsidP="00850A0F">
            <w:pPr>
              <w:pStyle w:val="TableText"/>
              <w:tabs>
                <w:tab w:val="decimal" w:pos="510"/>
              </w:tabs>
              <w:rPr>
                <w:lang w:eastAsia="en-NZ"/>
              </w:rPr>
            </w:pPr>
            <w:r w:rsidRPr="00DF7C22">
              <w:rPr>
                <w:lang w:eastAsia="en-NZ"/>
              </w:rPr>
              <w:t>6</w:t>
            </w:r>
            <w:r w:rsidR="00850A0F">
              <w:rPr>
                <w:lang w:eastAsia="en-NZ"/>
              </w:rPr>
              <w:t>,</w:t>
            </w:r>
            <w:r w:rsidRPr="00DF7C22">
              <w:rPr>
                <w:lang w:eastAsia="en-NZ"/>
              </w:rPr>
              <w:t>694</w:t>
            </w:r>
          </w:p>
        </w:tc>
        <w:tc>
          <w:tcPr>
            <w:tcW w:w="652" w:type="dxa"/>
            <w:tcBorders>
              <w:top w:val="single" w:sz="4" w:space="0" w:color="FFFFFF" w:themeColor="background1"/>
              <w:bottom w:val="single" w:sz="4" w:space="0" w:color="A6A6A6" w:themeColor="background1" w:themeShade="A6"/>
              <w:right w:val="single" w:sz="4" w:space="0" w:color="A6A6A6" w:themeColor="background1" w:themeShade="A6"/>
            </w:tcBorders>
            <w:shd w:val="clear" w:color="auto" w:fill="auto"/>
            <w:noWrap/>
            <w:hideMark/>
          </w:tcPr>
          <w:p w14:paraId="041E2E84" w14:textId="77777777" w:rsidR="003741ED" w:rsidRPr="00DF7C22" w:rsidRDefault="003741ED" w:rsidP="00850A0F">
            <w:pPr>
              <w:pStyle w:val="TableText"/>
              <w:tabs>
                <w:tab w:val="decimal" w:pos="369"/>
              </w:tabs>
              <w:rPr>
                <w:lang w:eastAsia="en-NZ"/>
              </w:rPr>
            </w:pPr>
            <w:r w:rsidRPr="00DF7C22">
              <w:rPr>
                <w:lang w:eastAsia="en-NZ"/>
              </w:rPr>
              <w:t>156.8</w:t>
            </w:r>
          </w:p>
        </w:tc>
        <w:tc>
          <w:tcPr>
            <w:tcW w:w="652" w:type="dxa"/>
            <w:tcBorders>
              <w:top w:val="single" w:sz="4" w:space="0" w:color="FFFFFF" w:themeColor="background1"/>
              <w:left w:val="single" w:sz="4" w:space="0" w:color="A6A6A6" w:themeColor="background1" w:themeShade="A6"/>
              <w:bottom w:val="single" w:sz="4" w:space="0" w:color="A6A6A6" w:themeColor="background1" w:themeShade="A6"/>
            </w:tcBorders>
            <w:shd w:val="clear" w:color="auto" w:fill="auto"/>
            <w:noWrap/>
            <w:hideMark/>
          </w:tcPr>
          <w:p w14:paraId="041E2E85" w14:textId="77777777" w:rsidR="003741ED" w:rsidRPr="00DF7C22" w:rsidRDefault="003741ED" w:rsidP="00850A0F">
            <w:pPr>
              <w:pStyle w:val="TableText"/>
              <w:tabs>
                <w:tab w:val="decimal" w:pos="510"/>
              </w:tabs>
              <w:rPr>
                <w:lang w:eastAsia="en-NZ"/>
              </w:rPr>
            </w:pPr>
            <w:r w:rsidRPr="00DF7C22">
              <w:rPr>
                <w:lang w:eastAsia="en-NZ"/>
              </w:rPr>
              <w:t>7</w:t>
            </w:r>
            <w:r w:rsidR="00850A0F">
              <w:rPr>
                <w:lang w:eastAsia="en-NZ"/>
              </w:rPr>
              <w:t>,</w:t>
            </w:r>
            <w:r w:rsidRPr="00DF7C22">
              <w:rPr>
                <w:lang w:eastAsia="en-NZ"/>
              </w:rPr>
              <w:t>177</w:t>
            </w:r>
          </w:p>
        </w:tc>
        <w:tc>
          <w:tcPr>
            <w:tcW w:w="652" w:type="dxa"/>
            <w:tcBorders>
              <w:top w:val="single" w:sz="4" w:space="0" w:color="FFFFFF" w:themeColor="background1"/>
              <w:bottom w:val="single" w:sz="4" w:space="0" w:color="A6A6A6" w:themeColor="background1" w:themeShade="A6"/>
              <w:right w:val="single" w:sz="4" w:space="0" w:color="A6A6A6" w:themeColor="background1" w:themeShade="A6"/>
            </w:tcBorders>
            <w:shd w:val="clear" w:color="auto" w:fill="auto"/>
            <w:noWrap/>
            <w:hideMark/>
          </w:tcPr>
          <w:p w14:paraId="041E2E86" w14:textId="77777777" w:rsidR="003741ED" w:rsidRPr="00DF7C22" w:rsidRDefault="003741ED" w:rsidP="00850A0F">
            <w:pPr>
              <w:pStyle w:val="TableText"/>
              <w:tabs>
                <w:tab w:val="decimal" w:pos="369"/>
              </w:tabs>
              <w:rPr>
                <w:lang w:eastAsia="en-NZ"/>
              </w:rPr>
            </w:pPr>
            <w:r w:rsidRPr="00DF7C22">
              <w:rPr>
                <w:lang w:eastAsia="en-NZ"/>
              </w:rPr>
              <w:t>166.3</w:t>
            </w:r>
          </w:p>
        </w:tc>
        <w:tc>
          <w:tcPr>
            <w:tcW w:w="652" w:type="dxa"/>
            <w:tcBorders>
              <w:top w:val="single" w:sz="4" w:space="0" w:color="FFFFFF" w:themeColor="background1"/>
              <w:left w:val="single" w:sz="4" w:space="0" w:color="A6A6A6" w:themeColor="background1" w:themeShade="A6"/>
              <w:bottom w:val="single" w:sz="4" w:space="0" w:color="A6A6A6" w:themeColor="background1" w:themeShade="A6"/>
            </w:tcBorders>
            <w:shd w:val="clear" w:color="auto" w:fill="auto"/>
            <w:noWrap/>
            <w:hideMark/>
          </w:tcPr>
          <w:p w14:paraId="041E2E87" w14:textId="77777777" w:rsidR="003741ED" w:rsidRPr="00DF7C22" w:rsidRDefault="003741ED" w:rsidP="00850A0F">
            <w:pPr>
              <w:pStyle w:val="TableText"/>
              <w:tabs>
                <w:tab w:val="decimal" w:pos="510"/>
              </w:tabs>
              <w:rPr>
                <w:lang w:eastAsia="en-NZ"/>
              </w:rPr>
            </w:pPr>
            <w:r w:rsidRPr="00DF7C22">
              <w:rPr>
                <w:lang w:eastAsia="en-NZ"/>
              </w:rPr>
              <w:t>7</w:t>
            </w:r>
            <w:r w:rsidR="00850A0F">
              <w:rPr>
                <w:lang w:eastAsia="en-NZ"/>
              </w:rPr>
              <w:t>,</w:t>
            </w:r>
            <w:r w:rsidRPr="00DF7C22">
              <w:rPr>
                <w:lang w:eastAsia="en-NZ"/>
              </w:rPr>
              <w:t>346</w:t>
            </w:r>
          </w:p>
        </w:tc>
        <w:tc>
          <w:tcPr>
            <w:tcW w:w="652" w:type="dxa"/>
            <w:tcBorders>
              <w:top w:val="single" w:sz="4" w:space="0" w:color="FFFFFF" w:themeColor="background1"/>
              <w:bottom w:val="single" w:sz="4" w:space="0" w:color="A6A6A6" w:themeColor="background1" w:themeShade="A6"/>
              <w:right w:val="single" w:sz="4" w:space="0" w:color="A6A6A6" w:themeColor="background1" w:themeShade="A6"/>
            </w:tcBorders>
            <w:shd w:val="clear" w:color="auto" w:fill="auto"/>
            <w:noWrap/>
            <w:hideMark/>
          </w:tcPr>
          <w:p w14:paraId="041E2E88" w14:textId="77777777" w:rsidR="003741ED" w:rsidRPr="00DF7C22" w:rsidRDefault="003741ED" w:rsidP="00850A0F">
            <w:pPr>
              <w:pStyle w:val="TableText"/>
              <w:tabs>
                <w:tab w:val="decimal" w:pos="369"/>
              </w:tabs>
              <w:rPr>
                <w:lang w:eastAsia="en-NZ"/>
              </w:rPr>
            </w:pPr>
            <w:r w:rsidRPr="00DF7C22">
              <w:rPr>
                <w:lang w:eastAsia="en-NZ"/>
              </w:rPr>
              <w:t>168.2</w:t>
            </w:r>
          </w:p>
        </w:tc>
        <w:tc>
          <w:tcPr>
            <w:tcW w:w="652" w:type="dxa"/>
            <w:tcBorders>
              <w:top w:val="single" w:sz="4" w:space="0" w:color="FFFFFF" w:themeColor="background1"/>
              <w:left w:val="single" w:sz="4" w:space="0" w:color="A6A6A6" w:themeColor="background1" w:themeShade="A6"/>
              <w:bottom w:val="single" w:sz="4" w:space="0" w:color="A6A6A6" w:themeColor="background1" w:themeShade="A6"/>
            </w:tcBorders>
            <w:shd w:val="clear" w:color="auto" w:fill="auto"/>
            <w:noWrap/>
            <w:hideMark/>
          </w:tcPr>
          <w:p w14:paraId="041E2E89" w14:textId="77777777" w:rsidR="003741ED" w:rsidRPr="00DF7C22" w:rsidRDefault="003741ED" w:rsidP="00850A0F">
            <w:pPr>
              <w:pStyle w:val="TableText"/>
              <w:tabs>
                <w:tab w:val="decimal" w:pos="510"/>
              </w:tabs>
              <w:rPr>
                <w:lang w:eastAsia="en-NZ"/>
              </w:rPr>
            </w:pPr>
            <w:r w:rsidRPr="00DF7C22">
              <w:rPr>
                <w:lang w:eastAsia="en-NZ"/>
              </w:rPr>
              <w:t>6</w:t>
            </w:r>
            <w:r w:rsidR="00850A0F">
              <w:rPr>
                <w:lang w:eastAsia="en-NZ"/>
              </w:rPr>
              <w:t>,</w:t>
            </w:r>
            <w:r w:rsidRPr="00DF7C22">
              <w:rPr>
                <w:lang w:eastAsia="en-NZ"/>
              </w:rPr>
              <w:t>686</w:t>
            </w:r>
          </w:p>
        </w:tc>
        <w:tc>
          <w:tcPr>
            <w:tcW w:w="652" w:type="dxa"/>
            <w:tcBorders>
              <w:top w:val="single" w:sz="4" w:space="0" w:color="FFFFFF" w:themeColor="background1"/>
              <w:bottom w:val="single" w:sz="4" w:space="0" w:color="A6A6A6" w:themeColor="background1" w:themeShade="A6"/>
              <w:right w:val="single" w:sz="4" w:space="0" w:color="A6A6A6" w:themeColor="background1" w:themeShade="A6"/>
            </w:tcBorders>
            <w:shd w:val="clear" w:color="auto" w:fill="auto"/>
            <w:noWrap/>
            <w:hideMark/>
          </w:tcPr>
          <w:p w14:paraId="041E2E8A" w14:textId="77777777" w:rsidR="003741ED" w:rsidRPr="00DF7C22" w:rsidRDefault="003741ED" w:rsidP="00850A0F">
            <w:pPr>
              <w:pStyle w:val="TableText"/>
              <w:tabs>
                <w:tab w:val="decimal" w:pos="369"/>
              </w:tabs>
              <w:rPr>
                <w:lang w:eastAsia="en-NZ"/>
              </w:rPr>
            </w:pPr>
            <w:r w:rsidRPr="00DF7C22">
              <w:rPr>
                <w:lang w:eastAsia="en-NZ"/>
              </w:rPr>
              <w:t>151.8</w:t>
            </w:r>
          </w:p>
        </w:tc>
        <w:tc>
          <w:tcPr>
            <w:tcW w:w="652" w:type="dxa"/>
            <w:tcBorders>
              <w:top w:val="single" w:sz="4" w:space="0" w:color="FFFFFF" w:themeColor="background1"/>
              <w:left w:val="single" w:sz="4" w:space="0" w:color="A6A6A6" w:themeColor="background1" w:themeShade="A6"/>
              <w:bottom w:val="single" w:sz="4" w:space="0" w:color="A6A6A6" w:themeColor="background1" w:themeShade="A6"/>
            </w:tcBorders>
            <w:shd w:val="clear" w:color="auto" w:fill="auto"/>
            <w:noWrap/>
            <w:hideMark/>
          </w:tcPr>
          <w:p w14:paraId="041E2E8B" w14:textId="77777777" w:rsidR="003741ED" w:rsidRPr="00DF7C22" w:rsidRDefault="003741ED" w:rsidP="00850A0F">
            <w:pPr>
              <w:pStyle w:val="TableText"/>
              <w:tabs>
                <w:tab w:val="decimal" w:pos="510"/>
              </w:tabs>
              <w:rPr>
                <w:lang w:eastAsia="en-NZ"/>
              </w:rPr>
            </w:pPr>
            <w:r w:rsidRPr="00DF7C22">
              <w:rPr>
                <w:lang w:eastAsia="en-NZ"/>
              </w:rPr>
              <w:t>7</w:t>
            </w:r>
            <w:r w:rsidR="00850A0F">
              <w:rPr>
                <w:lang w:eastAsia="en-NZ"/>
              </w:rPr>
              <w:t>,</w:t>
            </w:r>
            <w:r w:rsidRPr="00DF7C22">
              <w:rPr>
                <w:lang w:eastAsia="en-NZ"/>
              </w:rPr>
              <w:t>016</w:t>
            </w:r>
          </w:p>
        </w:tc>
        <w:tc>
          <w:tcPr>
            <w:tcW w:w="652" w:type="dxa"/>
            <w:tcBorders>
              <w:top w:val="single" w:sz="4" w:space="0" w:color="FFFFFF" w:themeColor="background1"/>
              <w:bottom w:val="single" w:sz="4" w:space="0" w:color="A6A6A6" w:themeColor="background1" w:themeShade="A6"/>
              <w:right w:val="single" w:sz="4" w:space="0" w:color="A6A6A6" w:themeColor="background1" w:themeShade="A6"/>
            </w:tcBorders>
            <w:shd w:val="clear" w:color="auto" w:fill="auto"/>
            <w:noWrap/>
            <w:hideMark/>
          </w:tcPr>
          <w:p w14:paraId="041E2E8C" w14:textId="77777777" w:rsidR="003741ED" w:rsidRPr="00DF7C22" w:rsidRDefault="003741ED" w:rsidP="00850A0F">
            <w:pPr>
              <w:pStyle w:val="TableText"/>
              <w:tabs>
                <w:tab w:val="decimal" w:pos="369"/>
              </w:tabs>
              <w:rPr>
                <w:lang w:eastAsia="en-NZ"/>
              </w:rPr>
            </w:pPr>
            <w:r w:rsidRPr="00DF7C22">
              <w:rPr>
                <w:lang w:eastAsia="en-NZ"/>
              </w:rPr>
              <w:t>158.3</w:t>
            </w:r>
          </w:p>
        </w:tc>
        <w:tc>
          <w:tcPr>
            <w:tcW w:w="652" w:type="dxa"/>
            <w:tcBorders>
              <w:top w:val="single" w:sz="4" w:space="0" w:color="FFFFFF" w:themeColor="background1"/>
              <w:left w:val="single" w:sz="4" w:space="0" w:color="A6A6A6" w:themeColor="background1" w:themeShade="A6"/>
              <w:bottom w:val="single" w:sz="4" w:space="0" w:color="A6A6A6" w:themeColor="background1" w:themeShade="A6"/>
            </w:tcBorders>
            <w:shd w:val="clear" w:color="auto" w:fill="auto"/>
            <w:noWrap/>
            <w:hideMark/>
          </w:tcPr>
          <w:p w14:paraId="041E2E8D" w14:textId="77777777" w:rsidR="003741ED" w:rsidRPr="00DF7C22" w:rsidRDefault="003741ED" w:rsidP="00850A0F">
            <w:pPr>
              <w:pStyle w:val="TableText"/>
              <w:tabs>
                <w:tab w:val="decimal" w:pos="510"/>
              </w:tabs>
              <w:rPr>
                <w:lang w:eastAsia="en-NZ"/>
              </w:rPr>
            </w:pPr>
            <w:r w:rsidRPr="00DF7C22">
              <w:rPr>
                <w:lang w:eastAsia="en-NZ"/>
              </w:rPr>
              <w:t>6</w:t>
            </w:r>
            <w:r w:rsidR="00850A0F">
              <w:rPr>
                <w:lang w:eastAsia="en-NZ"/>
              </w:rPr>
              <w:t>,</w:t>
            </w:r>
            <w:r w:rsidRPr="00DF7C22">
              <w:rPr>
                <w:lang w:eastAsia="en-NZ"/>
              </w:rPr>
              <w:t>837</w:t>
            </w:r>
          </w:p>
        </w:tc>
        <w:tc>
          <w:tcPr>
            <w:tcW w:w="653" w:type="dxa"/>
            <w:tcBorders>
              <w:top w:val="single" w:sz="4" w:space="0" w:color="FFFFFF" w:themeColor="background1"/>
              <w:bottom w:val="single" w:sz="4" w:space="0" w:color="A6A6A6" w:themeColor="background1" w:themeShade="A6"/>
            </w:tcBorders>
            <w:shd w:val="clear" w:color="auto" w:fill="auto"/>
            <w:noWrap/>
            <w:hideMark/>
          </w:tcPr>
          <w:p w14:paraId="041E2E8E" w14:textId="77777777" w:rsidR="003741ED" w:rsidRPr="00DF7C22" w:rsidRDefault="003741ED" w:rsidP="00850A0F">
            <w:pPr>
              <w:pStyle w:val="TableText"/>
              <w:tabs>
                <w:tab w:val="decimal" w:pos="369"/>
              </w:tabs>
              <w:rPr>
                <w:lang w:eastAsia="en-NZ"/>
              </w:rPr>
            </w:pPr>
            <w:r w:rsidRPr="00DF7C22">
              <w:rPr>
                <w:lang w:eastAsia="en-NZ"/>
              </w:rPr>
              <w:t>152.9</w:t>
            </w:r>
          </w:p>
        </w:tc>
      </w:tr>
      <w:tr w:rsidR="00850A0F" w:rsidRPr="00DF7C22" w14:paraId="041E2EA5"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90" w14:textId="77777777" w:rsidR="003741ED" w:rsidRPr="00DF7C22" w:rsidRDefault="003741ED" w:rsidP="00397776">
            <w:pPr>
              <w:pStyle w:val="TableText"/>
              <w:rPr>
                <w:lang w:eastAsia="en-NZ"/>
              </w:rPr>
            </w:pPr>
            <w:r w:rsidRPr="00DF7C22">
              <w:rPr>
                <w:lang w:eastAsia="en-NZ"/>
              </w:rPr>
              <w:t>Cryptosporidiosis</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91" w14:textId="77777777" w:rsidR="003741ED" w:rsidRPr="00DF7C22" w:rsidRDefault="003741ED" w:rsidP="00850A0F">
            <w:pPr>
              <w:pStyle w:val="TableText"/>
              <w:tabs>
                <w:tab w:val="decimal" w:pos="510"/>
              </w:tabs>
              <w:rPr>
                <w:lang w:eastAsia="en-NZ"/>
              </w:rPr>
            </w:pPr>
            <w:r w:rsidRPr="00DF7C22">
              <w:rPr>
                <w:lang w:eastAsia="en-NZ"/>
              </w:rPr>
              <w:t>611</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92" w14:textId="77777777" w:rsidR="003741ED" w:rsidRPr="00DF7C22" w:rsidRDefault="003741ED" w:rsidP="00850A0F">
            <w:pPr>
              <w:pStyle w:val="TableText"/>
              <w:tabs>
                <w:tab w:val="decimal" w:pos="369"/>
              </w:tabs>
              <w:rPr>
                <w:lang w:eastAsia="en-NZ"/>
              </w:rPr>
            </w:pPr>
            <w:r w:rsidRPr="00DF7C22">
              <w:rPr>
                <w:lang w:eastAsia="en-NZ"/>
              </w:rPr>
              <w:t>14.9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93" w14:textId="77777777" w:rsidR="003741ED" w:rsidRPr="00DF7C22" w:rsidRDefault="003741ED" w:rsidP="00850A0F">
            <w:pPr>
              <w:pStyle w:val="TableText"/>
              <w:tabs>
                <w:tab w:val="decimal" w:pos="510"/>
              </w:tabs>
              <w:rPr>
                <w:lang w:eastAsia="en-NZ"/>
              </w:rPr>
            </w:pPr>
            <w:r w:rsidRPr="00DF7C22">
              <w:rPr>
                <w:lang w:eastAsia="en-NZ"/>
              </w:rPr>
              <w:t>888</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94" w14:textId="77777777" w:rsidR="003741ED" w:rsidRPr="00DF7C22" w:rsidRDefault="003741ED" w:rsidP="00850A0F">
            <w:pPr>
              <w:pStyle w:val="TableText"/>
              <w:tabs>
                <w:tab w:val="decimal" w:pos="369"/>
              </w:tabs>
              <w:rPr>
                <w:lang w:eastAsia="en-NZ"/>
              </w:rPr>
            </w:pPr>
            <w:r w:rsidRPr="00DF7C22">
              <w:rPr>
                <w:lang w:eastAsia="en-NZ"/>
              </w:rPr>
              <w:t>21.5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95" w14:textId="77777777" w:rsidR="003741ED" w:rsidRPr="00DF7C22" w:rsidRDefault="003741ED" w:rsidP="00850A0F">
            <w:pPr>
              <w:pStyle w:val="TableText"/>
              <w:tabs>
                <w:tab w:val="decimal" w:pos="510"/>
              </w:tabs>
              <w:rPr>
                <w:lang w:eastAsia="en-NZ"/>
              </w:rPr>
            </w:pPr>
            <w:r w:rsidRPr="00DF7C22">
              <w:rPr>
                <w:lang w:eastAsia="en-NZ"/>
              </w:rPr>
              <w:t>737</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96" w14:textId="77777777" w:rsidR="003741ED" w:rsidRPr="00DF7C22" w:rsidRDefault="003741ED" w:rsidP="00850A0F">
            <w:pPr>
              <w:pStyle w:val="TableText"/>
              <w:tabs>
                <w:tab w:val="decimal" w:pos="369"/>
              </w:tabs>
              <w:rPr>
                <w:lang w:eastAsia="en-NZ"/>
              </w:rPr>
            </w:pPr>
            <w:r w:rsidRPr="00DF7C22">
              <w:rPr>
                <w:lang w:eastAsia="en-NZ"/>
              </w:rPr>
              <w:t>17.6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97" w14:textId="77777777" w:rsidR="003741ED" w:rsidRPr="00DF7C22" w:rsidRDefault="003741ED" w:rsidP="00850A0F">
            <w:pPr>
              <w:pStyle w:val="TableText"/>
              <w:tabs>
                <w:tab w:val="decimal" w:pos="510"/>
              </w:tabs>
              <w:rPr>
                <w:lang w:eastAsia="en-NZ"/>
              </w:rPr>
            </w:pPr>
            <w:r w:rsidRPr="00DF7C22">
              <w:rPr>
                <w:lang w:eastAsia="en-NZ"/>
              </w:rPr>
              <w:t>924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98" w14:textId="77777777" w:rsidR="003741ED" w:rsidRPr="00DF7C22" w:rsidRDefault="003741ED" w:rsidP="00850A0F">
            <w:pPr>
              <w:pStyle w:val="TableText"/>
              <w:tabs>
                <w:tab w:val="decimal" w:pos="369"/>
              </w:tabs>
              <w:rPr>
                <w:lang w:eastAsia="en-NZ"/>
              </w:rPr>
            </w:pPr>
            <w:r w:rsidRPr="00DF7C22">
              <w:rPr>
                <w:lang w:eastAsia="en-NZ"/>
              </w:rPr>
              <w:t>21.9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99" w14:textId="77777777" w:rsidR="003741ED" w:rsidRPr="00DF7C22" w:rsidRDefault="003741ED" w:rsidP="00850A0F">
            <w:pPr>
              <w:pStyle w:val="TableText"/>
              <w:tabs>
                <w:tab w:val="decimal" w:pos="510"/>
              </w:tabs>
              <w:rPr>
                <w:lang w:eastAsia="en-NZ"/>
              </w:rPr>
            </w:pPr>
            <w:r w:rsidRPr="00DF7C22">
              <w:rPr>
                <w:lang w:eastAsia="en-NZ"/>
              </w:rPr>
              <w:t>764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9A" w14:textId="77777777" w:rsidR="003741ED" w:rsidRPr="00DF7C22" w:rsidRDefault="003741ED" w:rsidP="00850A0F">
            <w:pPr>
              <w:pStyle w:val="TableText"/>
              <w:tabs>
                <w:tab w:val="decimal" w:pos="369"/>
              </w:tabs>
              <w:rPr>
                <w:lang w:eastAsia="en-NZ"/>
              </w:rPr>
            </w:pPr>
            <w:r w:rsidRPr="00DF7C22">
              <w:rPr>
                <w:lang w:eastAsia="en-NZ"/>
              </w:rPr>
              <w:t>17.9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9B" w14:textId="77777777" w:rsidR="003741ED" w:rsidRPr="00DF7C22" w:rsidRDefault="003741ED" w:rsidP="00850A0F">
            <w:pPr>
              <w:pStyle w:val="TableText"/>
              <w:tabs>
                <w:tab w:val="decimal" w:pos="510"/>
              </w:tabs>
              <w:rPr>
                <w:lang w:eastAsia="en-NZ"/>
              </w:rPr>
            </w:pPr>
            <w:r w:rsidRPr="00DF7C22">
              <w:rPr>
                <w:lang w:eastAsia="en-NZ"/>
              </w:rPr>
              <w:t>854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9C" w14:textId="77777777" w:rsidR="003741ED" w:rsidRPr="00DF7C22" w:rsidRDefault="003741ED" w:rsidP="00850A0F">
            <w:pPr>
              <w:pStyle w:val="TableText"/>
              <w:tabs>
                <w:tab w:val="decimal" w:pos="369"/>
              </w:tabs>
              <w:rPr>
                <w:lang w:eastAsia="en-NZ"/>
              </w:rPr>
            </w:pPr>
            <w:r w:rsidRPr="00DF7C22">
              <w:rPr>
                <w:lang w:eastAsia="en-NZ"/>
              </w:rPr>
              <w:t>19.8</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9D" w14:textId="77777777" w:rsidR="003741ED" w:rsidRPr="00DF7C22" w:rsidRDefault="003741ED" w:rsidP="00850A0F">
            <w:pPr>
              <w:pStyle w:val="TableText"/>
              <w:tabs>
                <w:tab w:val="decimal" w:pos="510"/>
              </w:tabs>
              <w:rPr>
                <w:lang w:eastAsia="en-NZ"/>
              </w:rPr>
            </w:pPr>
            <w:r w:rsidRPr="00DF7C22">
              <w:rPr>
                <w:lang w:eastAsia="en-NZ"/>
              </w:rPr>
              <w:t>954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9E" w14:textId="77777777" w:rsidR="003741ED" w:rsidRPr="00DF7C22" w:rsidRDefault="003741ED" w:rsidP="00850A0F">
            <w:pPr>
              <w:pStyle w:val="TableText"/>
              <w:tabs>
                <w:tab w:val="decimal" w:pos="369"/>
              </w:tabs>
              <w:rPr>
                <w:lang w:eastAsia="en-NZ"/>
              </w:rPr>
            </w:pPr>
            <w:r w:rsidRPr="00DF7C22">
              <w:rPr>
                <w:lang w:eastAsia="en-NZ"/>
              </w:rPr>
              <w:t>21.8</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9F" w14:textId="77777777" w:rsidR="003741ED" w:rsidRPr="00DF7C22" w:rsidRDefault="003741ED" w:rsidP="00850A0F">
            <w:pPr>
              <w:pStyle w:val="TableText"/>
              <w:tabs>
                <w:tab w:val="decimal" w:pos="510"/>
              </w:tabs>
              <w:rPr>
                <w:lang w:eastAsia="en-NZ"/>
              </w:rPr>
            </w:pPr>
            <w:r w:rsidRPr="00DF7C22">
              <w:rPr>
                <w:lang w:eastAsia="en-NZ"/>
              </w:rPr>
              <w:t>610</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A0" w14:textId="77777777" w:rsidR="003741ED" w:rsidRPr="00DF7C22" w:rsidRDefault="003741ED" w:rsidP="00850A0F">
            <w:pPr>
              <w:pStyle w:val="TableText"/>
              <w:tabs>
                <w:tab w:val="decimal" w:pos="369"/>
              </w:tabs>
              <w:rPr>
                <w:lang w:eastAsia="en-NZ"/>
              </w:rPr>
            </w:pPr>
            <w:r w:rsidRPr="00DF7C22">
              <w:rPr>
                <w:lang w:eastAsia="en-NZ"/>
              </w:rPr>
              <w:t>13.8</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A1" w14:textId="77777777" w:rsidR="003741ED" w:rsidRPr="00DF7C22" w:rsidRDefault="003741ED" w:rsidP="00850A0F">
            <w:pPr>
              <w:pStyle w:val="TableText"/>
              <w:tabs>
                <w:tab w:val="decimal" w:pos="510"/>
              </w:tabs>
              <w:rPr>
                <w:lang w:eastAsia="en-NZ"/>
              </w:rPr>
            </w:pPr>
            <w:r w:rsidRPr="00DF7C22">
              <w:rPr>
                <w:lang w:eastAsia="en-NZ"/>
              </w:rPr>
              <w:t>877</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A2" w14:textId="77777777" w:rsidR="003741ED" w:rsidRPr="00DF7C22" w:rsidRDefault="003741ED" w:rsidP="00850A0F">
            <w:pPr>
              <w:pStyle w:val="TableText"/>
              <w:tabs>
                <w:tab w:val="decimal" w:pos="369"/>
              </w:tabs>
              <w:rPr>
                <w:lang w:eastAsia="en-NZ"/>
              </w:rPr>
            </w:pPr>
            <w:r w:rsidRPr="00DF7C22">
              <w:rPr>
                <w:lang w:eastAsia="en-NZ"/>
              </w:rPr>
              <w:t>19.8</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A3"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348</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EA4" w14:textId="77777777" w:rsidR="003741ED" w:rsidRPr="00DF7C22" w:rsidRDefault="003741ED" w:rsidP="00850A0F">
            <w:pPr>
              <w:pStyle w:val="TableText"/>
              <w:tabs>
                <w:tab w:val="decimal" w:pos="369"/>
              </w:tabs>
              <w:rPr>
                <w:lang w:eastAsia="en-NZ"/>
              </w:rPr>
            </w:pPr>
            <w:r w:rsidRPr="00DF7C22">
              <w:rPr>
                <w:lang w:eastAsia="en-NZ"/>
              </w:rPr>
              <w:t>30.1</w:t>
            </w:r>
          </w:p>
        </w:tc>
      </w:tr>
      <w:tr w:rsidR="00850A0F" w:rsidRPr="00DF7C22" w14:paraId="041E2EBB"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A6" w14:textId="77777777" w:rsidR="003741ED" w:rsidRPr="00DF7C22" w:rsidRDefault="003741ED" w:rsidP="00397776">
            <w:pPr>
              <w:pStyle w:val="TableText"/>
              <w:rPr>
                <w:lang w:eastAsia="en-NZ"/>
              </w:rPr>
            </w:pPr>
            <w:r w:rsidRPr="00DF7C22">
              <w:rPr>
                <w:lang w:eastAsia="en-NZ"/>
              </w:rPr>
              <w:t>Gastroenteritis (acute)</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A7"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363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A8" w14:textId="77777777" w:rsidR="003741ED" w:rsidRPr="00DF7C22" w:rsidRDefault="003741ED" w:rsidP="00850A0F">
            <w:pPr>
              <w:pStyle w:val="TableText"/>
              <w:tabs>
                <w:tab w:val="decimal" w:pos="369"/>
              </w:tabs>
              <w:rPr>
                <w:lang w:eastAsia="en-NZ"/>
              </w:rPr>
            </w:pPr>
            <w:r w:rsidRPr="00DF7C22">
              <w:rPr>
                <w:lang w:eastAsia="en-NZ"/>
              </w:rPr>
              <w:t>33.3</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A9" w14:textId="77777777" w:rsidR="003741ED" w:rsidRPr="00DF7C22" w:rsidRDefault="003741ED" w:rsidP="00850A0F">
            <w:pPr>
              <w:pStyle w:val="TableText"/>
              <w:tabs>
                <w:tab w:val="decimal" w:pos="510"/>
              </w:tabs>
              <w:rPr>
                <w:lang w:eastAsia="en-NZ"/>
              </w:rPr>
            </w:pPr>
            <w:r w:rsidRPr="00DF7C22">
              <w:rPr>
                <w:lang w:eastAsia="en-NZ"/>
              </w:rPr>
              <w:t>557</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AA" w14:textId="77777777" w:rsidR="003741ED" w:rsidRPr="00DF7C22" w:rsidRDefault="003741ED" w:rsidP="00850A0F">
            <w:pPr>
              <w:pStyle w:val="TableText"/>
              <w:tabs>
                <w:tab w:val="decimal" w:pos="369"/>
              </w:tabs>
              <w:rPr>
                <w:lang w:eastAsia="en-NZ"/>
              </w:rPr>
            </w:pPr>
            <w:r w:rsidRPr="00DF7C22">
              <w:rPr>
                <w:lang w:eastAsia="en-NZ"/>
              </w:rPr>
              <w:t>13.5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AB" w14:textId="77777777" w:rsidR="003741ED" w:rsidRPr="00DF7C22" w:rsidRDefault="003741ED" w:rsidP="00850A0F">
            <w:pPr>
              <w:pStyle w:val="TableText"/>
              <w:tabs>
                <w:tab w:val="decimal" w:pos="510"/>
              </w:tabs>
              <w:rPr>
                <w:lang w:eastAsia="en-NZ"/>
              </w:rPr>
            </w:pPr>
            <w:r w:rsidRPr="00DF7C22">
              <w:rPr>
                <w:lang w:eastAsia="en-NZ"/>
              </w:rPr>
              <w:t>937</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AC" w14:textId="77777777" w:rsidR="003741ED" w:rsidRPr="00DF7C22" w:rsidRDefault="003741ED" w:rsidP="00850A0F">
            <w:pPr>
              <w:pStyle w:val="TableText"/>
              <w:tabs>
                <w:tab w:val="decimal" w:pos="369"/>
              </w:tabs>
              <w:rPr>
                <w:lang w:eastAsia="en-NZ"/>
              </w:rPr>
            </w:pPr>
            <w:r w:rsidRPr="00DF7C22">
              <w:rPr>
                <w:lang w:eastAsia="en-NZ"/>
              </w:rPr>
              <w:t>22.4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AD" w14:textId="77777777" w:rsidR="003741ED" w:rsidRPr="00DF7C22" w:rsidRDefault="003741ED" w:rsidP="00850A0F">
            <w:pPr>
              <w:pStyle w:val="TableText"/>
              <w:tabs>
                <w:tab w:val="decimal" w:pos="510"/>
              </w:tabs>
              <w:rPr>
                <w:lang w:eastAsia="en-NZ"/>
              </w:rPr>
            </w:pPr>
            <w:r w:rsidRPr="00DF7C22">
              <w:rPr>
                <w:lang w:eastAsia="en-NZ"/>
              </w:rPr>
              <w:t>622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AE" w14:textId="77777777" w:rsidR="003741ED" w:rsidRPr="00DF7C22" w:rsidRDefault="003741ED" w:rsidP="00850A0F">
            <w:pPr>
              <w:pStyle w:val="TableText"/>
              <w:tabs>
                <w:tab w:val="decimal" w:pos="369"/>
              </w:tabs>
              <w:rPr>
                <w:lang w:eastAsia="en-NZ"/>
              </w:rPr>
            </w:pPr>
            <w:r w:rsidRPr="00DF7C22">
              <w:rPr>
                <w:lang w:eastAsia="en-NZ"/>
              </w:rPr>
              <w:t>14.7</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AF" w14:textId="77777777" w:rsidR="003741ED" w:rsidRPr="00DF7C22" w:rsidRDefault="003741ED" w:rsidP="00850A0F">
            <w:pPr>
              <w:pStyle w:val="TableText"/>
              <w:tabs>
                <w:tab w:val="decimal" w:pos="510"/>
              </w:tabs>
              <w:rPr>
                <w:lang w:eastAsia="en-NZ"/>
              </w:rPr>
            </w:pPr>
            <w:r w:rsidRPr="00DF7C22">
              <w:rPr>
                <w:lang w:eastAsia="en-NZ"/>
              </w:rPr>
              <w:t>686</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B0" w14:textId="77777777" w:rsidR="003741ED" w:rsidRPr="00DF7C22" w:rsidRDefault="003741ED" w:rsidP="00850A0F">
            <w:pPr>
              <w:pStyle w:val="TableText"/>
              <w:tabs>
                <w:tab w:val="decimal" w:pos="369"/>
              </w:tabs>
              <w:rPr>
                <w:lang w:eastAsia="en-NZ"/>
              </w:rPr>
            </w:pPr>
            <w:r w:rsidRPr="00DF7C22">
              <w:rPr>
                <w:lang w:eastAsia="en-NZ"/>
              </w:rPr>
              <w:t>16.1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B1" w14:textId="77777777" w:rsidR="003741ED" w:rsidRPr="00DF7C22" w:rsidRDefault="003741ED" w:rsidP="00850A0F">
            <w:pPr>
              <w:pStyle w:val="TableText"/>
              <w:tabs>
                <w:tab w:val="decimal" w:pos="510"/>
              </w:tabs>
              <w:rPr>
                <w:lang w:eastAsia="en-NZ"/>
              </w:rPr>
            </w:pPr>
            <w:r w:rsidRPr="00DF7C22">
              <w:rPr>
                <w:lang w:eastAsia="en-NZ"/>
              </w:rPr>
              <w:t>712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B2" w14:textId="77777777" w:rsidR="003741ED" w:rsidRPr="00DF7C22" w:rsidRDefault="003741ED" w:rsidP="00850A0F">
            <w:pPr>
              <w:pStyle w:val="TableText"/>
              <w:tabs>
                <w:tab w:val="decimal" w:pos="369"/>
              </w:tabs>
              <w:rPr>
                <w:lang w:eastAsia="en-NZ"/>
              </w:rPr>
            </w:pPr>
            <w:r w:rsidRPr="00DF7C22">
              <w:rPr>
                <w:lang w:eastAsia="en-NZ"/>
              </w:rPr>
              <w:t>16.5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B3" w14:textId="77777777" w:rsidR="003741ED" w:rsidRPr="00DF7C22" w:rsidRDefault="003741ED" w:rsidP="00850A0F">
            <w:pPr>
              <w:pStyle w:val="TableText"/>
              <w:tabs>
                <w:tab w:val="decimal" w:pos="510"/>
              </w:tabs>
              <w:rPr>
                <w:lang w:eastAsia="en-NZ"/>
              </w:rPr>
            </w:pPr>
            <w:r w:rsidRPr="00DF7C22">
              <w:rPr>
                <w:lang w:eastAsia="en-NZ"/>
              </w:rPr>
              <w:t>493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B4" w14:textId="77777777" w:rsidR="003741ED" w:rsidRPr="00DF7C22" w:rsidRDefault="003741ED" w:rsidP="00850A0F">
            <w:pPr>
              <w:pStyle w:val="TableText"/>
              <w:tabs>
                <w:tab w:val="decimal" w:pos="369"/>
              </w:tabs>
              <w:rPr>
                <w:lang w:eastAsia="en-NZ"/>
              </w:rPr>
            </w:pPr>
            <w:r w:rsidRPr="00DF7C22">
              <w:rPr>
                <w:lang w:eastAsia="en-NZ"/>
              </w:rPr>
              <w:t>11.3</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B5" w14:textId="77777777" w:rsidR="003741ED" w:rsidRPr="00DF7C22" w:rsidRDefault="003741ED" w:rsidP="00850A0F">
            <w:pPr>
              <w:pStyle w:val="TableText"/>
              <w:tabs>
                <w:tab w:val="decimal" w:pos="510"/>
              </w:tabs>
              <w:rPr>
                <w:lang w:eastAsia="en-NZ"/>
              </w:rPr>
            </w:pPr>
            <w:r w:rsidRPr="00DF7C22">
              <w:rPr>
                <w:lang w:eastAsia="en-NZ"/>
              </w:rPr>
              <w:t>567</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B6" w14:textId="77777777" w:rsidR="003741ED" w:rsidRPr="00DF7C22" w:rsidRDefault="003741ED" w:rsidP="00850A0F">
            <w:pPr>
              <w:pStyle w:val="TableText"/>
              <w:tabs>
                <w:tab w:val="decimal" w:pos="369"/>
              </w:tabs>
              <w:rPr>
                <w:lang w:eastAsia="en-NZ"/>
              </w:rPr>
            </w:pPr>
            <w:r w:rsidRPr="00DF7C22">
              <w:rPr>
                <w:lang w:eastAsia="en-NZ"/>
              </w:rPr>
              <w:t>12.9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B7" w14:textId="77777777" w:rsidR="003741ED" w:rsidRPr="00DF7C22" w:rsidRDefault="003741ED" w:rsidP="00850A0F">
            <w:pPr>
              <w:pStyle w:val="TableText"/>
              <w:tabs>
                <w:tab w:val="decimal" w:pos="510"/>
              </w:tabs>
              <w:rPr>
                <w:lang w:eastAsia="en-NZ"/>
              </w:rPr>
            </w:pPr>
            <w:r w:rsidRPr="00DF7C22">
              <w:rPr>
                <w:lang w:eastAsia="en-NZ"/>
              </w:rPr>
              <w:t>735</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B8" w14:textId="77777777" w:rsidR="003741ED" w:rsidRPr="00DF7C22" w:rsidRDefault="003741ED" w:rsidP="00850A0F">
            <w:pPr>
              <w:pStyle w:val="TableText"/>
              <w:tabs>
                <w:tab w:val="decimal" w:pos="369"/>
              </w:tabs>
              <w:rPr>
                <w:lang w:eastAsia="en-NZ"/>
              </w:rPr>
            </w:pPr>
            <w:r w:rsidRPr="00DF7C22">
              <w:rPr>
                <w:lang w:eastAsia="en-NZ"/>
              </w:rPr>
              <w:t>16.6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B9" w14:textId="77777777" w:rsidR="003741ED" w:rsidRPr="00DF7C22" w:rsidRDefault="003741ED" w:rsidP="00850A0F">
            <w:pPr>
              <w:pStyle w:val="TableText"/>
              <w:tabs>
                <w:tab w:val="decimal" w:pos="510"/>
              </w:tabs>
              <w:rPr>
                <w:lang w:eastAsia="en-NZ"/>
              </w:rPr>
            </w:pPr>
            <w:r w:rsidRPr="00DF7C22">
              <w:rPr>
                <w:lang w:eastAsia="en-NZ"/>
              </w:rPr>
              <w:t>558</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EBA" w14:textId="77777777" w:rsidR="003741ED" w:rsidRPr="00DF7C22" w:rsidRDefault="003741ED" w:rsidP="00850A0F">
            <w:pPr>
              <w:pStyle w:val="TableText"/>
              <w:tabs>
                <w:tab w:val="decimal" w:pos="369"/>
              </w:tabs>
              <w:rPr>
                <w:lang w:eastAsia="en-NZ"/>
              </w:rPr>
            </w:pPr>
            <w:r w:rsidRPr="00DF7C22">
              <w:rPr>
                <w:lang w:eastAsia="en-NZ"/>
              </w:rPr>
              <w:t>12.5</w:t>
            </w:r>
          </w:p>
        </w:tc>
      </w:tr>
      <w:tr w:rsidR="00850A0F" w:rsidRPr="00DF7C22" w14:paraId="041E2ED1"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BC" w14:textId="77777777" w:rsidR="003741ED" w:rsidRPr="00DF7C22" w:rsidRDefault="003741ED" w:rsidP="00397776">
            <w:pPr>
              <w:pStyle w:val="TableText"/>
              <w:rPr>
                <w:lang w:eastAsia="en-NZ"/>
              </w:rPr>
            </w:pPr>
            <w:r w:rsidRPr="00DF7C22">
              <w:rPr>
                <w:lang w:eastAsia="en-NZ"/>
              </w:rPr>
              <w:t>Giardiasis</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BD"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514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BE" w14:textId="77777777" w:rsidR="003741ED" w:rsidRPr="00DF7C22" w:rsidRDefault="003741ED" w:rsidP="00850A0F">
            <w:pPr>
              <w:pStyle w:val="TableText"/>
              <w:tabs>
                <w:tab w:val="decimal" w:pos="369"/>
              </w:tabs>
              <w:rPr>
                <w:lang w:eastAsia="en-NZ"/>
              </w:rPr>
            </w:pPr>
            <w:r w:rsidRPr="00DF7C22">
              <w:rPr>
                <w:lang w:eastAsia="en-NZ"/>
              </w:rPr>
              <w:t>37.0</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BF"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231</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C0" w14:textId="77777777" w:rsidR="003741ED" w:rsidRPr="00DF7C22" w:rsidRDefault="003741ED" w:rsidP="00850A0F">
            <w:pPr>
              <w:pStyle w:val="TableText"/>
              <w:tabs>
                <w:tab w:val="decimal" w:pos="369"/>
              </w:tabs>
              <w:rPr>
                <w:lang w:eastAsia="en-NZ"/>
              </w:rPr>
            </w:pPr>
            <w:r w:rsidRPr="00DF7C22">
              <w:rPr>
                <w:lang w:eastAsia="en-NZ"/>
              </w:rPr>
              <w:t>29.8</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C1"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214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C2" w14:textId="77777777" w:rsidR="003741ED" w:rsidRPr="00DF7C22" w:rsidRDefault="003741ED" w:rsidP="00850A0F">
            <w:pPr>
              <w:pStyle w:val="TableText"/>
              <w:tabs>
                <w:tab w:val="decimal" w:pos="369"/>
              </w:tabs>
              <w:rPr>
                <w:lang w:eastAsia="en-NZ"/>
              </w:rPr>
            </w:pPr>
            <w:r w:rsidRPr="00DF7C22">
              <w:rPr>
                <w:lang w:eastAsia="en-NZ"/>
              </w:rPr>
              <w:t>29.0</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C3" w14:textId="77777777" w:rsidR="003741ED" w:rsidRPr="00DF7C22" w:rsidRDefault="003741ED" w:rsidP="00850A0F">
            <w:pPr>
              <w:pStyle w:val="TableText"/>
              <w:tabs>
                <w:tab w:val="decimal" w:pos="510"/>
              </w:tabs>
              <w:rPr>
                <w:lang w:eastAsia="en-NZ"/>
              </w:rPr>
            </w:pPr>
            <w:r w:rsidRPr="00DF7C22">
              <w:rPr>
                <w:lang w:eastAsia="en-NZ"/>
              </w:rPr>
              <w:t>1402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C4" w14:textId="77777777" w:rsidR="003741ED" w:rsidRPr="00DF7C22" w:rsidRDefault="003741ED" w:rsidP="00850A0F">
            <w:pPr>
              <w:pStyle w:val="TableText"/>
              <w:tabs>
                <w:tab w:val="decimal" w:pos="369"/>
              </w:tabs>
              <w:rPr>
                <w:lang w:eastAsia="en-NZ"/>
              </w:rPr>
            </w:pPr>
            <w:r w:rsidRPr="00DF7C22">
              <w:rPr>
                <w:lang w:eastAsia="en-NZ"/>
              </w:rPr>
              <w:t>33.2</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C5"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660</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C6" w14:textId="77777777" w:rsidR="003741ED" w:rsidRPr="00DF7C22" w:rsidRDefault="003741ED" w:rsidP="00850A0F">
            <w:pPr>
              <w:pStyle w:val="TableText"/>
              <w:tabs>
                <w:tab w:val="decimal" w:pos="369"/>
              </w:tabs>
              <w:rPr>
                <w:lang w:eastAsia="en-NZ"/>
              </w:rPr>
            </w:pPr>
            <w:r w:rsidRPr="00DF7C22">
              <w:rPr>
                <w:lang w:eastAsia="en-NZ"/>
              </w:rPr>
              <w:t>38.9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C7"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639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C8" w14:textId="77777777" w:rsidR="003741ED" w:rsidRPr="00DF7C22" w:rsidRDefault="003741ED" w:rsidP="00850A0F">
            <w:pPr>
              <w:pStyle w:val="TableText"/>
              <w:tabs>
                <w:tab w:val="decimal" w:pos="369"/>
              </w:tabs>
              <w:rPr>
                <w:lang w:eastAsia="en-NZ"/>
              </w:rPr>
            </w:pPr>
            <w:r w:rsidRPr="00DF7C22">
              <w:rPr>
                <w:lang w:eastAsia="en-NZ"/>
              </w:rPr>
              <w:t>38.0</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C9"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985</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CA" w14:textId="77777777" w:rsidR="003741ED" w:rsidRPr="00DF7C22" w:rsidRDefault="003741ED" w:rsidP="00850A0F">
            <w:pPr>
              <w:pStyle w:val="TableText"/>
              <w:tabs>
                <w:tab w:val="decimal" w:pos="369"/>
              </w:tabs>
              <w:rPr>
                <w:lang w:eastAsia="en-NZ"/>
              </w:rPr>
            </w:pPr>
            <w:r w:rsidRPr="00DF7C22">
              <w:rPr>
                <w:lang w:eastAsia="en-NZ"/>
              </w:rPr>
              <w:t>45.4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CB"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934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CC" w14:textId="77777777" w:rsidR="003741ED" w:rsidRPr="00DF7C22" w:rsidRDefault="003741ED" w:rsidP="00850A0F">
            <w:pPr>
              <w:pStyle w:val="TableText"/>
              <w:tabs>
                <w:tab w:val="decimal" w:pos="369"/>
              </w:tabs>
              <w:rPr>
                <w:lang w:eastAsia="en-NZ"/>
              </w:rPr>
            </w:pPr>
            <w:r w:rsidRPr="00DF7C22">
              <w:rPr>
                <w:lang w:eastAsia="en-NZ"/>
              </w:rPr>
              <w:t>43.9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CD"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714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CE" w14:textId="77777777" w:rsidR="003741ED" w:rsidRPr="00DF7C22" w:rsidRDefault="003741ED" w:rsidP="00850A0F">
            <w:pPr>
              <w:pStyle w:val="TableText"/>
              <w:tabs>
                <w:tab w:val="decimal" w:pos="369"/>
              </w:tabs>
              <w:rPr>
                <w:lang w:eastAsia="en-NZ"/>
              </w:rPr>
            </w:pPr>
            <w:r w:rsidRPr="00DF7C22">
              <w:rPr>
                <w:lang w:eastAsia="en-NZ"/>
              </w:rPr>
              <w:t>38.7</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CF"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729</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ED0" w14:textId="77777777" w:rsidR="003741ED" w:rsidRPr="00DF7C22" w:rsidRDefault="003741ED" w:rsidP="00850A0F">
            <w:pPr>
              <w:pStyle w:val="TableText"/>
              <w:tabs>
                <w:tab w:val="decimal" w:pos="369"/>
              </w:tabs>
              <w:rPr>
                <w:lang w:eastAsia="en-NZ"/>
              </w:rPr>
            </w:pPr>
            <w:r w:rsidRPr="00DF7C22">
              <w:rPr>
                <w:lang w:eastAsia="en-NZ"/>
              </w:rPr>
              <w:t>38.7</w:t>
            </w:r>
          </w:p>
        </w:tc>
      </w:tr>
      <w:tr w:rsidR="00850A0F" w:rsidRPr="00DF7C22" w14:paraId="041E2EE7"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D2" w14:textId="77777777" w:rsidR="003741ED" w:rsidRPr="00DF7C22" w:rsidRDefault="003741ED" w:rsidP="00397776">
            <w:pPr>
              <w:pStyle w:val="TableText"/>
              <w:rPr>
                <w:lang w:eastAsia="en-NZ"/>
              </w:rPr>
            </w:pPr>
            <w:r w:rsidRPr="00DF7C22">
              <w:rPr>
                <w:lang w:eastAsia="en-NZ"/>
              </w:rPr>
              <w:t>Hepatitis A</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D3" w14:textId="77777777" w:rsidR="003741ED" w:rsidRPr="00DF7C22" w:rsidRDefault="003741ED" w:rsidP="00850A0F">
            <w:pPr>
              <w:pStyle w:val="TableText"/>
              <w:tabs>
                <w:tab w:val="decimal" w:pos="510"/>
              </w:tabs>
              <w:rPr>
                <w:lang w:eastAsia="en-NZ"/>
              </w:rPr>
            </w:pPr>
            <w:r w:rsidRPr="00DF7C22">
              <w:rPr>
                <w:lang w:eastAsia="en-NZ"/>
              </w:rPr>
              <w:t>49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D4" w14:textId="77777777" w:rsidR="003741ED" w:rsidRPr="00DF7C22" w:rsidRDefault="003741ED" w:rsidP="00850A0F">
            <w:pPr>
              <w:pStyle w:val="TableText"/>
              <w:tabs>
                <w:tab w:val="decimal" w:pos="369"/>
              </w:tabs>
              <w:rPr>
                <w:lang w:eastAsia="en-NZ"/>
              </w:rPr>
            </w:pPr>
            <w:r w:rsidRPr="00DF7C22">
              <w:rPr>
                <w:lang w:eastAsia="en-NZ"/>
              </w:rPr>
              <w:t>1.2</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D5" w14:textId="77777777" w:rsidR="003741ED" w:rsidRPr="00DF7C22" w:rsidRDefault="003741ED" w:rsidP="00850A0F">
            <w:pPr>
              <w:pStyle w:val="TableText"/>
              <w:tabs>
                <w:tab w:val="decimal" w:pos="510"/>
              </w:tabs>
              <w:rPr>
                <w:lang w:eastAsia="en-NZ"/>
              </w:rPr>
            </w:pPr>
            <w:r w:rsidRPr="00DF7C22">
              <w:rPr>
                <w:lang w:eastAsia="en-NZ"/>
              </w:rPr>
              <w:t>51</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D6" w14:textId="77777777" w:rsidR="003741ED" w:rsidRPr="00DF7C22" w:rsidRDefault="003741ED" w:rsidP="00850A0F">
            <w:pPr>
              <w:pStyle w:val="TableText"/>
              <w:tabs>
                <w:tab w:val="decimal" w:pos="369"/>
              </w:tabs>
              <w:rPr>
                <w:lang w:eastAsia="en-NZ"/>
              </w:rPr>
            </w:pPr>
            <w:r w:rsidRPr="00DF7C22">
              <w:rPr>
                <w:lang w:eastAsia="en-NZ"/>
              </w:rPr>
              <w:t>1.2</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D7" w14:textId="77777777" w:rsidR="003741ED" w:rsidRPr="00DF7C22" w:rsidRDefault="003741ED" w:rsidP="00850A0F">
            <w:pPr>
              <w:pStyle w:val="TableText"/>
              <w:tabs>
                <w:tab w:val="decimal" w:pos="510"/>
              </w:tabs>
              <w:rPr>
                <w:lang w:eastAsia="en-NZ"/>
              </w:rPr>
            </w:pPr>
            <w:r w:rsidRPr="00DF7C22">
              <w:rPr>
                <w:lang w:eastAsia="en-NZ"/>
              </w:rPr>
              <w:t>123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D8" w14:textId="77777777" w:rsidR="003741ED" w:rsidRPr="00DF7C22" w:rsidRDefault="003741ED" w:rsidP="00850A0F">
            <w:pPr>
              <w:pStyle w:val="TableText"/>
              <w:tabs>
                <w:tab w:val="decimal" w:pos="369"/>
              </w:tabs>
              <w:rPr>
                <w:lang w:eastAsia="en-NZ"/>
              </w:rPr>
            </w:pPr>
            <w:r w:rsidRPr="00DF7C22">
              <w:rPr>
                <w:lang w:eastAsia="en-NZ"/>
              </w:rPr>
              <w:t>2.9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D9" w14:textId="77777777" w:rsidR="003741ED" w:rsidRPr="00DF7C22" w:rsidRDefault="003741ED" w:rsidP="00850A0F">
            <w:pPr>
              <w:pStyle w:val="TableText"/>
              <w:tabs>
                <w:tab w:val="decimal" w:pos="510"/>
              </w:tabs>
              <w:rPr>
                <w:lang w:eastAsia="en-NZ"/>
              </w:rPr>
            </w:pPr>
            <w:r w:rsidRPr="00DF7C22">
              <w:rPr>
                <w:lang w:eastAsia="en-NZ"/>
              </w:rPr>
              <w:t>42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DA" w14:textId="77777777" w:rsidR="003741ED" w:rsidRPr="00DF7C22" w:rsidRDefault="003741ED" w:rsidP="00850A0F">
            <w:pPr>
              <w:pStyle w:val="TableText"/>
              <w:tabs>
                <w:tab w:val="decimal" w:pos="369"/>
              </w:tabs>
              <w:rPr>
                <w:lang w:eastAsia="en-NZ"/>
              </w:rPr>
            </w:pPr>
            <w:r w:rsidRPr="00DF7C22">
              <w:rPr>
                <w:lang w:eastAsia="en-NZ"/>
              </w:rPr>
              <w:t>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DB" w14:textId="77777777" w:rsidR="003741ED" w:rsidRPr="00DF7C22" w:rsidRDefault="003741ED" w:rsidP="00850A0F">
            <w:pPr>
              <w:pStyle w:val="TableText"/>
              <w:tabs>
                <w:tab w:val="decimal" w:pos="510"/>
              </w:tabs>
              <w:rPr>
                <w:lang w:eastAsia="en-NZ"/>
              </w:rPr>
            </w:pPr>
            <w:r w:rsidRPr="00DF7C22">
              <w:rPr>
                <w:lang w:eastAsia="en-NZ"/>
              </w:rPr>
              <w:t>89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DC" w14:textId="77777777" w:rsidR="003741ED" w:rsidRPr="00DF7C22" w:rsidRDefault="003741ED" w:rsidP="00850A0F">
            <w:pPr>
              <w:pStyle w:val="TableText"/>
              <w:tabs>
                <w:tab w:val="decimal" w:pos="369"/>
              </w:tabs>
              <w:rPr>
                <w:lang w:eastAsia="en-NZ"/>
              </w:rPr>
            </w:pPr>
            <w:r w:rsidRPr="00DF7C22">
              <w:rPr>
                <w:lang w:eastAsia="en-NZ"/>
              </w:rPr>
              <w:t>2.1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DD" w14:textId="77777777" w:rsidR="003741ED" w:rsidRPr="00DF7C22" w:rsidRDefault="003741ED" w:rsidP="00850A0F">
            <w:pPr>
              <w:pStyle w:val="TableText"/>
              <w:tabs>
                <w:tab w:val="decimal" w:pos="510"/>
              </w:tabs>
              <w:rPr>
                <w:lang w:eastAsia="en-NZ"/>
              </w:rPr>
            </w:pPr>
            <w:r w:rsidRPr="00DF7C22">
              <w:rPr>
                <w:lang w:eastAsia="en-NZ"/>
              </w:rPr>
              <w:t>44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DE" w14:textId="77777777" w:rsidR="003741ED" w:rsidRPr="00DF7C22" w:rsidRDefault="003741ED" w:rsidP="00850A0F">
            <w:pPr>
              <w:pStyle w:val="TableText"/>
              <w:tabs>
                <w:tab w:val="decimal" w:pos="369"/>
              </w:tabs>
              <w:rPr>
                <w:lang w:eastAsia="en-NZ"/>
              </w:rPr>
            </w:pPr>
            <w:r w:rsidRPr="00DF7C22">
              <w:rPr>
                <w:lang w:eastAsia="en-NZ"/>
              </w:rPr>
              <w:t>1.0</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DF" w14:textId="77777777" w:rsidR="003741ED" w:rsidRPr="00DF7C22" w:rsidRDefault="003741ED" w:rsidP="00850A0F">
            <w:pPr>
              <w:pStyle w:val="TableText"/>
              <w:tabs>
                <w:tab w:val="decimal" w:pos="510"/>
              </w:tabs>
              <w:rPr>
                <w:lang w:eastAsia="en-NZ"/>
              </w:rPr>
            </w:pPr>
            <w:r w:rsidRPr="00DF7C22">
              <w:rPr>
                <w:lang w:eastAsia="en-NZ"/>
              </w:rPr>
              <w:t>46</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E0" w14:textId="77777777" w:rsidR="003741ED" w:rsidRPr="00DF7C22" w:rsidRDefault="003741ED" w:rsidP="00850A0F">
            <w:pPr>
              <w:pStyle w:val="TableText"/>
              <w:tabs>
                <w:tab w:val="decimal" w:pos="369"/>
              </w:tabs>
              <w:rPr>
                <w:lang w:eastAsia="en-NZ"/>
              </w:rPr>
            </w:pPr>
            <w:r w:rsidRPr="00DF7C22">
              <w:rPr>
                <w:lang w:eastAsia="en-NZ"/>
              </w:rPr>
              <w:t>1.1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E1" w14:textId="77777777" w:rsidR="003741ED" w:rsidRPr="00DF7C22" w:rsidRDefault="003741ED" w:rsidP="00850A0F">
            <w:pPr>
              <w:pStyle w:val="TableText"/>
              <w:tabs>
                <w:tab w:val="decimal" w:pos="510"/>
              </w:tabs>
              <w:rPr>
                <w:lang w:eastAsia="en-NZ"/>
              </w:rPr>
            </w:pPr>
            <w:r w:rsidRPr="00DF7C22">
              <w:rPr>
                <w:lang w:eastAsia="en-NZ"/>
              </w:rPr>
              <w:t>26</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E2" w14:textId="77777777" w:rsidR="003741ED" w:rsidRPr="00DF7C22" w:rsidRDefault="003741ED" w:rsidP="00850A0F">
            <w:pPr>
              <w:pStyle w:val="TableText"/>
              <w:tabs>
                <w:tab w:val="decimal" w:pos="369"/>
              </w:tabs>
              <w:rPr>
                <w:lang w:eastAsia="en-NZ"/>
              </w:rPr>
            </w:pPr>
            <w:r w:rsidRPr="00DF7C22">
              <w:rPr>
                <w:lang w:eastAsia="en-NZ"/>
              </w:rPr>
              <w:t>0.6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E3" w14:textId="77777777" w:rsidR="003741ED" w:rsidRPr="00DF7C22" w:rsidRDefault="003741ED" w:rsidP="00850A0F">
            <w:pPr>
              <w:pStyle w:val="TableText"/>
              <w:tabs>
                <w:tab w:val="decimal" w:pos="510"/>
              </w:tabs>
              <w:rPr>
                <w:lang w:eastAsia="en-NZ"/>
              </w:rPr>
            </w:pPr>
            <w:r w:rsidRPr="00DF7C22">
              <w:rPr>
                <w:lang w:eastAsia="en-NZ"/>
              </w:rPr>
              <w:t>82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E4" w14:textId="77777777" w:rsidR="003741ED" w:rsidRPr="00DF7C22" w:rsidRDefault="003741ED" w:rsidP="00850A0F">
            <w:pPr>
              <w:pStyle w:val="TableText"/>
              <w:tabs>
                <w:tab w:val="decimal" w:pos="369"/>
              </w:tabs>
              <w:rPr>
                <w:lang w:eastAsia="en-NZ"/>
              </w:rPr>
            </w:pPr>
            <w:r w:rsidRPr="00DF7C22">
              <w:rPr>
                <w:lang w:eastAsia="en-NZ"/>
              </w:rPr>
              <w:t>1.8</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E5" w14:textId="77777777" w:rsidR="003741ED" w:rsidRPr="00DF7C22" w:rsidRDefault="003741ED" w:rsidP="00850A0F">
            <w:pPr>
              <w:pStyle w:val="TableText"/>
              <w:tabs>
                <w:tab w:val="decimal" w:pos="510"/>
              </w:tabs>
              <w:rPr>
                <w:lang w:eastAsia="en-NZ"/>
              </w:rPr>
            </w:pPr>
            <w:r w:rsidRPr="00DF7C22">
              <w:rPr>
                <w:lang w:eastAsia="en-NZ"/>
              </w:rPr>
              <w:t>91</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EE6" w14:textId="77777777" w:rsidR="003741ED" w:rsidRPr="00DF7C22" w:rsidRDefault="003741ED" w:rsidP="00850A0F">
            <w:pPr>
              <w:pStyle w:val="TableText"/>
              <w:tabs>
                <w:tab w:val="decimal" w:pos="369"/>
              </w:tabs>
              <w:rPr>
                <w:lang w:eastAsia="en-NZ"/>
              </w:rPr>
            </w:pPr>
            <w:r w:rsidRPr="00DF7C22">
              <w:rPr>
                <w:lang w:eastAsia="en-NZ"/>
              </w:rPr>
              <w:t>2.0</w:t>
            </w:r>
          </w:p>
        </w:tc>
      </w:tr>
      <w:tr w:rsidR="00850A0F" w:rsidRPr="00DF7C22" w14:paraId="041E2EFD"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E8" w14:textId="77777777" w:rsidR="003741ED" w:rsidRPr="00DF7C22" w:rsidRDefault="003741ED" w:rsidP="00397776">
            <w:pPr>
              <w:pStyle w:val="TableText"/>
              <w:rPr>
                <w:lang w:eastAsia="en-NZ"/>
              </w:rPr>
            </w:pPr>
            <w:r w:rsidRPr="00DF7C22">
              <w:rPr>
                <w:lang w:eastAsia="en-NZ"/>
              </w:rPr>
              <w:t>Legionellosis</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E9" w14:textId="77777777" w:rsidR="003741ED" w:rsidRPr="00DF7C22" w:rsidRDefault="003741ED" w:rsidP="00850A0F">
            <w:pPr>
              <w:pStyle w:val="TableText"/>
              <w:tabs>
                <w:tab w:val="decimal" w:pos="510"/>
              </w:tabs>
              <w:rPr>
                <w:lang w:eastAsia="en-NZ"/>
              </w:rPr>
            </w:pPr>
            <w:r w:rsidRPr="00DF7C22">
              <w:rPr>
                <w:lang w:eastAsia="en-NZ"/>
              </w:rPr>
              <w:t>62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EA" w14:textId="77777777" w:rsidR="003741ED" w:rsidRPr="00DF7C22" w:rsidRDefault="003741ED" w:rsidP="00850A0F">
            <w:pPr>
              <w:pStyle w:val="TableText"/>
              <w:tabs>
                <w:tab w:val="decimal" w:pos="369"/>
              </w:tabs>
              <w:rPr>
                <w:lang w:eastAsia="en-NZ"/>
              </w:rPr>
            </w:pPr>
            <w:r w:rsidRPr="00DF7C22">
              <w:rPr>
                <w:lang w:eastAsia="en-NZ"/>
              </w:rPr>
              <w:t>1.5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EB" w14:textId="77777777" w:rsidR="003741ED" w:rsidRPr="00DF7C22" w:rsidRDefault="003741ED" w:rsidP="00850A0F">
            <w:pPr>
              <w:pStyle w:val="TableText"/>
              <w:tabs>
                <w:tab w:val="decimal" w:pos="510"/>
              </w:tabs>
              <w:rPr>
                <w:lang w:eastAsia="en-NZ"/>
              </w:rPr>
            </w:pPr>
            <w:r w:rsidRPr="00DF7C22">
              <w:rPr>
                <w:lang w:eastAsia="en-NZ"/>
              </w:rPr>
              <w:t>85</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EC" w14:textId="77777777" w:rsidR="003741ED" w:rsidRPr="00DF7C22" w:rsidRDefault="003741ED" w:rsidP="00850A0F">
            <w:pPr>
              <w:pStyle w:val="TableText"/>
              <w:tabs>
                <w:tab w:val="decimal" w:pos="369"/>
              </w:tabs>
              <w:rPr>
                <w:lang w:eastAsia="en-NZ"/>
              </w:rPr>
            </w:pPr>
            <w:r w:rsidRPr="00DF7C22">
              <w:rPr>
                <w:lang w:eastAsia="en-NZ"/>
              </w:rPr>
              <w:t>2.1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ED" w14:textId="77777777" w:rsidR="003741ED" w:rsidRPr="00DF7C22" w:rsidRDefault="003741ED" w:rsidP="00850A0F">
            <w:pPr>
              <w:pStyle w:val="TableText"/>
              <w:tabs>
                <w:tab w:val="decimal" w:pos="510"/>
              </w:tabs>
              <w:rPr>
                <w:lang w:eastAsia="en-NZ"/>
              </w:rPr>
            </w:pPr>
            <w:r w:rsidRPr="00DF7C22">
              <w:rPr>
                <w:lang w:eastAsia="en-NZ"/>
              </w:rPr>
              <w:t>52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EE" w14:textId="77777777" w:rsidR="003741ED" w:rsidRPr="00DF7C22" w:rsidRDefault="003741ED" w:rsidP="00850A0F">
            <w:pPr>
              <w:pStyle w:val="TableText"/>
              <w:tabs>
                <w:tab w:val="decimal" w:pos="369"/>
              </w:tabs>
              <w:rPr>
                <w:lang w:eastAsia="en-NZ"/>
              </w:rPr>
            </w:pPr>
            <w:r w:rsidRPr="00DF7C22">
              <w:rPr>
                <w:lang w:eastAsia="en-NZ"/>
              </w:rPr>
              <w:t>1.2</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EF" w14:textId="77777777" w:rsidR="003741ED" w:rsidRPr="00DF7C22" w:rsidRDefault="003741ED" w:rsidP="00850A0F">
            <w:pPr>
              <w:pStyle w:val="TableText"/>
              <w:tabs>
                <w:tab w:val="decimal" w:pos="510"/>
              </w:tabs>
              <w:rPr>
                <w:lang w:eastAsia="en-NZ"/>
              </w:rPr>
            </w:pPr>
            <w:r w:rsidRPr="00DF7C22">
              <w:rPr>
                <w:lang w:eastAsia="en-NZ"/>
              </w:rPr>
              <w:t>64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F0" w14:textId="77777777" w:rsidR="003741ED" w:rsidRPr="00DF7C22" w:rsidRDefault="003741ED" w:rsidP="00850A0F">
            <w:pPr>
              <w:pStyle w:val="TableText"/>
              <w:tabs>
                <w:tab w:val="decimal" w:pos="369"/>
              </w:tabs>
              <w:rPr>
                <w:lang w:eastAsia="en-NZ"/>
              </w:rPr>
            </w:pPr>
            <w:r w:rsidRPr="00DF7C22">
              <w:rPr>
                <w:lang w:eastAsia="en-NZ"/>
              </w:rPr>
              <w:t>1.5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F1" w14:textId="77777777" w:rsidR="003741ED" w:rsidRPr="00DF7C22" w:rsidRDefault="003741ED" w:rsidP="00850A0F">
            <w:pPr>
              <w:pStyle w:val="TableText"/>
              <w:tabs>
                <w:tab w:val="decimal" w:pos="510"/>
              </w:tabs>
              <w:rPr>
                <w:lang w:eastAsia="en-NZ"/>
              </w:rPr>
            </w:pPr>
            <w:r w:rsidRPr="00DF7C22">
              <w:rPr>
                <w:lang w:eastAsia="en-NZ"/>
              </w:rPr>
              <w:t>73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F2" w14:textId="77777777" w:rsidR="003741ED" w:rsidRPr="00DF7C22" w:rsidRDefault="003741ED" w:rsidP="00850A0F">
            <w:pPr>
              <w:pStyle w:val="TableText"/>
              <w:tabs>
                <w:tab w:val="decimal" w:pos="369"/>
              </w:tabs>
              <w:rPr>
                <w:lang w:eastAsia="en-NZ"/>
              </w:rPr>
            </w:pPr>
            <w:r w:rsidRPr="00DF7C22">
              <w:rPr>
                <w:lang w:eastAsia="en-NZ"/>
              </w:rPr>
              <w:t>1.7</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F3" w14:textId="77777777" w:rsidR="003741ED" w:rsidRPr="00DF7C22" w:rsidRDefault="003741ED" w:rsidP="00850A0F">
            <w:pPr>
              <w:pStyle w:val="TableText"/>
              <w:tabs>
                <w:tab w:val="decimal" w:pos="510"/>
              </w:tabs>
              <w:rPr>
                <w:lang w:eastAsia="en-NZ"/>
              </w:rPr>
            </w:pPr>
            <w:r w:rsidRPr="00DF7C22">
              <w:rPr>
                <w:lang w:eastAsia="en-NZ"/>
              </w:rPr>
              <w:t>74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F4" w14:textId="77777777" w:rsidR="003741ED" w:rsidRPr="00DF7C22" w:rsidRDefault="003741ED" w:rsidP="00850A0F">
            <w:pPr>
              <w:pStyle w:val="TableText"/>
              <w:tabs>
                <w:tab w:val="decimal" w:pos="369"/>
              </w:tabs>
              <w:rPr>
                <w:lang w:eastAsia="en-NZ"/>
              </w:rPr>
            </w:pPr>
            <w:r w:rsidRPr="00DF7C22">
              <w:rPr>
                <w:lang w:eastAsia="en-NZ"/>
              </w:rPr>
              <w:t>1.7</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F5" w14:textId="77777777" w:rsidR="003741ED" w:rsidRPr="00DF7C22" w:rsidRDefault="003741ED" w:rsidP="00850A0F">
            <w:pPr>
              <w:pStyle w:val="TableText"/>
              <w:tabs>
                <w:tab w:val="decimal" w:pos="510"/>
              </w:tabs>
              <w:rPr>
                <w:lang w:eastAsia="en-NZ"/>
              </w:rPr>
            </w:pPr>
            <w:r w:rsidRPr="00DF7C22">
              <w:rPr>
                <w:lang w:eastAsia="en-NZ"/>
              </w:rPr>
              <w:t>173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F6" w14:textId="77777777" w:rsidR="003741ED" w:rsidRPr="00DF7C22" w:rsidRDefault="003741ED" w:rsidP="00850A0F">
            <w:pPr>
              <w:pStyle w:val="TableText"/>
              <w:tabs>
                <w:tab w:val="decimal" w:pos="369"/>
              </w:tabs>
              <w:rPr>
                <w:lang w:eastAsia="en-NZ"/>
              </w:rPr>
            </w:pPr>
            <w:r w:rsidRPr="00DF7C22">
              <w:rPr>
                <w:lang w:eastAsia="en-NZ"/>
              </w:rPr>
              <w:t>4.0</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F7" w14:textId="77777777" w:rsidR="003741ED" w:rsidRPr="00DF7C22" w:rsidRDefault="003741ED" w:rsidP="00850A0F">
            <w:pPr>
              <w:pStyle w:val="TableText"/>
              <w:tabs>
                <w:tab w:val="decimal" w:pos="510"/>
              </w:tabs>
              <w:rPr>
                <w:lang w:eastAsia="en-NZ"/>
              </w:rPr>
            </w:pPr>
            <w:r w:rsidRPr="00DF7C22">
              <w:rPr>
                <w:lang w:eastAsia="en-NZ"/>
              </w:rPr>
              <w:t>158</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F8" w14:textId="77777777" w:rsidR="003741ED" w:rsidRPr="00DF7C22" w:rsidRDefault="003741ED" w:rsidP="00850A0F">
            <w:pPr>
              <w:pStyle w:val="TableText"/>
              <w:tabs>
                <w:tab w:val="decimal" w:pos="369"/>
              </w:tabs>
              <w:rPr>
                <w:lang w:eastAsia="en-NZ"/>
              </w:rPr>
            </w:pPr>
            <w:r w:rsidRPr="00DF7C22">
              <w:rPr>
                <w:lang w:eastAsia="en-NZ"/>
              </w:rPr>
              <w:t>3.6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F9" w14:textId="77777777" w:rsidR="003741ED" w:rsidRPr="00DF7C22" w:rsidRDefault="003741ED" w:rsidP="00850A0F">
            <w:pPr>
              <w:pStyle w:val="TableText"/>
              <w:tabs>
                <w:tab w:val="decimal" w:pos="510"/>
              </w:tabs>
              <w:rPr>
                <w:lang w:eastAsia="en-NZ"/>
              </w:rPr>
            </w:pPr>
            <w:r w:rsidRPr="00DF7C22">
              <w:rPr>
                <w:lang w:eastAsia="en-NZ"/>
              </w:rPr>
              <w:t>150</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FA" w14:textId="77777777" w:rsidR="003741ED" w:rsidRPr="00DF7C22" w:rsidRDefault="003741ED" w:rsidP="00850A0F">
            <w:pPr>
              <w:pStyle w:val="TableText"/>
              <w:tabs>
                <w:tab w:val="decimal" w:pos="369"/>
              </w:tabs>
              <w:rPr>
                <w:lang w:eastAsia="en-NZ"/>
              </w:rPr>
            </w:pPr>
            <w:r w:rsidRPr="00DF7C22">
              <w:rPr>
                <w:lang w:eastAsia="en-NZ"/>
              </w:rPr>
              <w:t>3.4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FB" w14:textId="77777777" w:rsidR="003741ED" w:rsidRPr="00DF7C22" w:rsidRDefault="003741ED" w:rsidP="00850A0F">
            <w:pPr>
              <w:pStyle w:val="TableText"/>
              <w:tabs>
                <w:tab w:val="decimal" w:pos="510"/>
              </w:tabs>
              <w:rPr>
                <w:lang w:eastAsia="en-NZ"/>
              </w:rPr>
            </w:pPr>
            <w:r w:rsidRPr="00DF7C22">
              <w:rPr>
                <w:lang w:eastAsia="en-NZ"/>
              </w:rPr>
              <w:t>151</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EFC" w14:textId="77777777" w:rsidR="003741ED" w:rsidRPr="00DF7C22" w:rsidRDefault="003741ED" w:rsidP="00850A0F">
            <w:pPr>
              <w:pStyle w:val="TableText"/>
              <w:tabs>
                <w:tab w:val="decimal" w:pos="369"/>
              </w:tabs>
              <w:rPr>
                <w:lang w:eastAsia="en-NZ"/>
              </w:rPr>
            </w:pPr>
            <w:r w:rsidRPr="00DF7C22">
              <w:rPr>
                <w:lang w:eastAsia="en-NZ"/>
              </w:rPr>
              <w:t>3.4</w:t>
            </w:r>
          </w:p>
        </w:tc>
      </w:tr>
      <w:tr w:rsidR="00850A0F" w:rsidRPr="00DF7C22" w14:paraId="041E2F13"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EFE" w14:textId="77777777" w:rsidR="003741ED" w:rsidRPr="00DF7C22" w:rsidRDefault="003741ED" w:rsidP="00397776">
            <w:pPr>
              <w:pStyle w:val="TableText"/>
              <w:rPr>
                <w:lang w:eastAsia="en-NZ"/>
              </w:rPr>
            </w:pPr>
            <w:r w:rsidRPr="00DF7C22">
              <w:rPr>
                <w:lang w:eastAsia="en-NZ"/>
              </w:rPr>
              <w:t>Leptospirosis</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EFF" w14:textId="77777777" w:rsidR="003741ED" w:rsidRPr="00DF7C22" w:rsidRDefault="003741ED" w:rsidP="00850A0F">
            <w:pPr>
              <w:pStyle w:val="TableText"/>
              <w:tabs>
                <w:tab w:val="decimal" w:pos="510"/>
              </w:tabs>
              <w:rPr>
                <w:lang w:eastAsia="en-NZ"/>
              </w:rPr>
            </w:pPr>
            <w:r w:rsidRPr="00DF7C22">
              <w:rPr>
                <w:lang w:eastAsia="en-NZ"/>
              </w:rPr>
              <w:t>102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00" w14:textId="77777777" w:rsidR="003741ED" w:rsidRPr="00DF7C22" w:rsidRDefault="003741ED" w:rsidP="00850A0F">
            <w:pPr>
              <w:pStyle w:val="TableText"/>
              <w:tabs>
                <w:tab w:val="decimal" w:pos="369"/>
              </w:tabs>
              <w:rPr>
                <w:lang w:eastAsia="en-NZ"/>
              </w:rPr>
            </w:pPr>
            <w:r w:rsidRPr="00DF7C22">
              <w:rPr>
                <w:lang w:eastAsia="en-NZ"/>
              </w:rPr>
              <w:t>2.5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01" w14:textId="77777777" w:rsidR="003741ED" w:rsidRPr="00DF7C22" w:rsidRDefault="003741ED" w:rsidP="00850A0F">
            <w:pPr>
              <w:pStyle w:val="TableText"/>
              <w:tabs>
                <w:tab w:val="decimal" w:pos="510"/>
              </w:tabs>
              <w:rPr>
                <w:lang w:eastAsia="en-NZ"/>
              </w:rPr>
            </w:pPr>
            <w:r w:rsidRPr="00DF7C22">
              <w:rPr>
                <w:lang w:eastAsia="en-NZ"/>
              </w:rPr>
              <w:t>85</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02" w14:textId="77777777" w:rsidR="003741ED" w:rsidRPr="00DF7C22" w:rsidRDefault="003741ED" w:rsidP="00850A0F">
            <w:pPr>
              <w:pStyle w:val="TableText"/>
              <w:tabs>
                <w:tab w:val="decimal" w:pos="369"/>
              </w:tabs>
              <w:rPr>
                <w:lang w:eastAsia="en-NZ"/>
              </w:rPr>
            </w:pPr>
            <w:r w:rsidRPr="00DF7C22">
              <w:rPr>
                <w:lang w:eastAsia="en-NZ"/>
              </w:rPr>
              <w:t>2.1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03" w14:textId="77777777" w:rsidR="003741ED" w:rsidRPr="00DF7C22" w:rsidRDefault="003741ED" w:rsidP="00850A0F">
            <w:pPr>
              <w:pStyle w:val="TableText"/>
              <w:tabs>
                <w:tab w:val="decimal" w:pos="510"/>
              </w:tabs>
              <w:rPr>
                <w:lang w:eastAsia="en-NZ"/>
              </w:rPr>
            </w:pPr>
            <w:r w:rsidRPr="00DF7C22">
              <w:rPr>
                <w:lang w:eastAsia="en-NZ"/>
              </w:rPr>
              <w:t>87</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04" w14:textId="77777777" w:rsidR="003741ED" w:rsidRPr="00DF7C22" w:rsidRDefault="003741ED" w:rsidP="00850A0F">
            <w:pPr>
              <w:pStyle w:val="TableText"/>
              <w:tabs>
                <w:tab w:val="decimal" w:pos="369"/>
              </w:tabs>
              <w:rPr>
                <w:lang w:eastAsia="en-NZ"/>
              </w:rPr>
            </w:pPr>
            <w:r w:rsidRPr="00DF7C22">
              <w:rPr>
                <w:lang w:eastAsia="en-NZ"/>
              </w:rPr>
              <w:t>2.1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05" w14:textId="77777777" w:rsidR="003741ED" w:rsidRPr="00DF7C22" w:rsidRDefault="003741ED" w:rsidP="00850A0F">
            <w:pPr>
              <w:pStyle w:val="TableText"/>
              <w:tabs>
                <w:tab w:val="decimal" w:pos="510"/>
              </w:tabs>
              <w:rPr>
                <w:lang w:eastAsia="en-NZ"/>
              </w:rPr>
            </w:pPr>
            <w:r w:rsidRPr="00DF7C22">
              <w:rPr>
                <w:lang w:eastAsia="en-NZ"/>
              </w:rPr>
              <w:t>66</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06" w14:textId="77777777" w:rsidR="003741ED" w:rsidRPr="00DF7C22" w:rsidRDefault="003741ED" w:rsidP="00850A0F">
            <w:pPr>
              <w:pStyle w:val="TableText"/>
              <w:tabs>
                <w:tab w:val="decimal" w:pos="369"/>
              </w:tabs>
              <w:rPr>
                <w:lang w:eastAsia="en-NZ"/>
              </w:rPr>
            </w:pPr>
            <w:r w:rsidRPr="00DF7C22">
              <w:rPr>
                <w:lang w:eastAsia="en-NZ"/>
              </w:rPr>
              <w:t>1.6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07" w14:textId="77777777" w:rsidR="003741ED" w:rsidRPr="00DF7C22" w:rsidRDefault="003741ED" w:rsidP="00850A0F">
            <w:pPr>
              <w:pStyle w:val="TableText"/>
              <w:tabs>
                <w:tab w:val="decimal" w:pos="510"/>
              </w:tabs>
              <w:rPr>
                <w:lang w:eastAsia="en-NZ"/>
              </w:rPr>
            </w:pPr>
            <w:r w:rsidRPr="00DF7C22">
              <w:rPr>
                <w:lang w:eastAsia="en-NZ"/>
              </w:rPr>
              <w:t>118</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08" w14:textId="77777777" w:rsidR="003741ED" w:rsidRPr="00DF7C22" w:rsidRDefault="003741ED" w:rsidP="00850A0F">
            <w:pPr>
              <w:pStyle w:val="TableText"/>
              <w:tabs>
                <w:tab w:val="decimal" w:pos="369"/>
              </w:tabs>
              <w:rPr>
                <w:lang w:eastAsia="en-NZ"/>
              </w:rPr>
            </w:pPr>
            <w:r w:rsidRPr="00DF7C22">
              <w:rPr>
                <w:lang w:eastAsia="en-NZ"/>
              </w:rPr>
              <w:t>2.8</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09" w14:textId="77777777" w:rsidR="003741ED" w:rsidRPr="00DF7C22" w:rsidRDefault="003741ED" w:rsidP="00850A0F">
            <w:pPr>
              <w:pStyle w:val="TableText"/>
              <w:tabs>
                <w:tab w:val="decimal" w:pos="510"/>
              </w:tabs>
              <w:rPr>
                <w:lang w:eastAsia="en-NZ"/>
              </w:rPr>
            </w:pPr>
            <w:r w:rsidRPr="00DF7C22">
              <w:rPr>
                <w:lang w:eastAsia="en-NZ"/>
              </w:rPr>
              <w:t>69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0A" w14:textId="77777777" w:rsidR="003741ED" w:rsidRPr="00DF7C22" w:rsidRDefault="003741ED" w:rsidP="00850A0F">
            <w:pPr>
              <w:pStyle w:val="TableText"/>
              <w:tabs>
                <w:tab w:val="decimal" w:pos="369"/>
              </w:tabs>
              <w:rPr>
                <w:lang w:eastAsia="en-NZ"/>
              </w:rPr>
            </w:pPr>
            <w:r w:rsidRPr="00DF7C22">
              <w:rPr>
                <w:lang w:eastAsia="en-NZ"/>
              </w:rPr>
              <w:t>1.6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0B" w14:textId="77777777" w:rsidR="003741ED" w:rsidRPr="00DF7C22" w:rsidRDefault="003741ED" w:rsidP="00850A0F">
            <w:pPr>
              <w:pStyle w:val="TableText"/>
              <w:tabs>
                <w:tab w:val="decimal" w:pos="510"/>
              </w:tabs>
              <w:rPr>
                <w:lang w:eastAsia="en-NZ"/>
              </w:rPr>
            </w:pPr>
            <w:r w:rsidRPr="00DF7C22">
              <w:rPr>
                <w:lang w:eastAsia="en-NZ"/>
              </w:rPr>
              <w:t>81</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0C" w14:textId="77777777" w:rsidR="003741ED" w:rsidRPr="00DF7C22" w:rsidRDefault="003741ED" w:rsidP="00850A0F">
            <w:pPr>
              <w:pStyle w:val="TableText"/>
              <w:tabs>
                <w:tab w:val="decimal" w:pos="369"/>
              </w:tabs>
              <w:rPr>
                <w:lang w:eastAsia="en-NZ"/>
              </w:rPr>
            </w:pPr>
            <w:r w:rsidRPr="00DF7C22">
              <w:rPr>
                <w:lang w:eastAsia="en-NZ"/>
              </w:rPr>
              <w:t>1.9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0D" w14:textId="77777777" w:rsidR="003741ED" w:rsidRPr="00DF7C22" w:rsidRDefault="003741ED" w:rsidP="00850A0F">
            <w:pPr>
              <w:pStyle w:val="TableText"/>
              <w:tabs>
                <w:tab w:val="decimal" w:pos="510"/>
              </w:tabs>
              <w:rPr>
                <w:lang w:eastAsia="en-NZ"/>
              </w:rPr>
            </w:pPr>
            <w:r w:rsidRPr="00DF7C22">
              <w:rPr>
                <w:lang w:eastAsia="en-NZ"/>
              </w:rPr>
              <w:t>68</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0E" w14:textId="77777777" w:rsidR="003741ED" w:rsidRPr="00DF7C22" w:rsidRDefault="003741ED" w:rsidP="00850A0F">
            <w:pPr>
              <w:pStyle w:val="TableText"/>
              <w:tabs>
                <w:tab w:val="decimal" w:pos="369"/>
              </w:tabs>
              <w:rPr>
                <w:lang w:eastAsia="en-NZ"/>
              </w:rPr>
            </w:pPr>
            <w:r w:rsidRPr="00DF7C22">
              <w:rPr>
                <w:lang w:eastAsia="en-NZ"/>
              </w:rPr>
              <w:t>1.5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0F" w14:textId="77777777" w:rsidR="003741ED" w:rsidRPr="00DF7C22" w:rsidRDefault="003741ED" w:rsidP="00850A0F">
            <w:pPr>
              <w:pStyle w:val="TableText"/>
              <w:tabs>
                <w:tab w:val="decimal" w:pos="510"/>
              </w:tabs>
              <w:rPr>
                <w:lang w:eastAsia="en-NZ"/>
              </w:rPr>
            </w:pPr>
            <w:r w:rsidRPr="00DF7C22">
              <w:rPr>
                <w:lang w:eastAsia="en-NZ"/>
              </w:rPr>
              <w:t>108</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10" w14:textId="77777777" w:rsidR="003741ED" w:rsidRPr="00DF7C22" w:rsidRDefault="003741ED" w:rsidP="00850A0F">
            <w:pPr>
              <w:pStyle w:val="TableText"/>
              <w:tabs>
                <w:tab w:val="decimal" w:pos="369"/>
              </w:tabs>
              <w:rPr>
                <w:lang w:eastAsia="en-NZ"/>
              </w:rPr>
            </w:pPr>
            <w:r w:rsidRPr="00DF7C22">
              <w:rPr>
                <w:lang w:eastAsia="en-NZ"/>
              </w:rPr>
              <w:t>2.4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11" w14:textId="77777777" w:rsidR="003741ED" w:rsidRPr="00DF7C22" w:rsidRDefault="003741ED" w:rsidP="00850A0F">
            <w:pPr>
              <w:pStyle w:val="TableText"/>
              <w:tabs>
                <w:tab w:val="decimal" w:pos="510"/>
              </w:tabs>
              <w:rPr>
                <w:lang w:eastAsia="en-NZ"/>
              </w:rPr>
            </w:pPr>
            <w:r w:rsidRPr="00DF7C22">
              <w:rPr>
                <w:lang w:eastAsia="en-NZ"/>
              </w:rPr>
              <w:t>59</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F12" w14:textId="77777777" w:rsidR="003741ED" w:rsidRPr="00DF7C22" w:rsidRDefault="003741ED" w:rsidP="00850A0F">
            <w:pPr>
              <w:pStyle w:val="TableText"/>
              <w:tabs>
                <w:tab w:val="decimal" w:pos="369"/>
              </w:tabs>
              <w:rPr>
                <w:lang w:eastAsia="en-NZ"/>
              </w:rPr>
            </w:pPr>
            <w:r w:rsidRPr="00DF7C22">
              <w:rPr>
                <w:lang w:eastAsia="en-NZ"/>
              </w:rPr>
              <w:t>1.3</w:t>
            </w:r>
          </w:p>
        </w:tc>
      </w:tr>
      <w:tr w:rsidR="00850A0F" w:rsidRPr="00DF7C22" w14:paraId="041E2F29"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14" w14:textId="77777777" w:rsidR="003741ED" w:rsidRPr="00DF7C22" w:rsidRDefault="003741ED" w:rsidP="00397776">
            <w:pPr>
              <w:pStyle w:val="TableText"/>
              <w:rPr>
                <w:lang w:eastAsia="en-NZ"/>
              </w:rPr>
            </w:pPr>
            <w:r w:rsidRPr="00DF7C22">
              <w:rPr>
                <w:lang w:eastAsia="en-NZ"/>
              </w:rPr>
              <w:t>Paratyphoid fever</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15" w14:textId="77777777" w:rsidR="003741ED" w:rsidRPr="00DF7C22" w:rsidRDefault="003741ED" w:rsidP="00850A0F">
            <w:pPr>
              <w:pStyle w:val="TableText"/>
              <w:tabs>
                <w:tab w:val="decimal" w:pos="510"/>
              </w:tabs>
              <w:rPr>
                <w:lang w:eastAsia="en-NZ"/>
              </w:rPr>
            </w:pPr>
            <w:r w:rsidRPr="00DF7C22">
              <w:rPr>
                <w:lang w:eastAsia="en-NZ"/>
              </w:rPr>
              <w:t>28</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16" w14:textId="77777777" w:rsidR="003741ED" w:rsidRPr="00DF7C22" w:rsidRDefault="003741ED" w:rsidP="00850A0F">
            <w:pPr>
              <w:pStyle w:val="TableText"/>
              <w:tabs>
                <w:tab w:val="decimal" w:pos="369"/>
              </w:tabs>
              <w:rPr>
                <w:lang w:eastAsia="en-NZ"/>
              </w:rPr>
            </w:pPr>
            <w:r w:rsidRPr="00DF7C22">
              <w:rPr>
                <w:lang w:eastAsia="en-NZ"/>
              </w:rPr>
              <w:t>0.7</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17" w14:textId="77777777" w:rsidR="003741ED" w:rsidRPr="00DF7C22" w:rsidRDefault="003741ED" w:rsidP="00850A0F">
            <w:pPr>
              <w:pStyle w:val="TableText"/>
              <w:tabs>
                <w:tab w:val="decimal" w:pos="510"/>
              </w:tabs>
              <w:rPr>
                <w:lang w:eastAsia="en-NZ"/>
              </w:rPr>
            </w:pPr>
            <w:r w:rsidRPr="00DF7C22">
              <w:rPr>
                <w:lang w:eastAsia="en-NZ"/>
              </w:rPr>
              <w:t>25</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18" w14:textId="77777777" w:rsidR="003741ED" w:rsidRPr="00DF7C22" w:rsidRDefault="003741ED" w:rsidP="00850A0F">
            <w:pPr>
              <w:pStyle w:val="TableText"/>
              <w:tabs>
                <w:tab w:val="decimal" w:pos="369"/>
              </w:tabs>
              <w:rPr>
                <w:lang w:eastAsia="en-NZ"/>
              </w:rPr>
            </w:pPr>
            <w:r w:rsidRPr="00DF7C22">
              <w:rPr>
                <w:lang w:eastAsia="en-NZ"/>
              </w:rPr>
              <w:t>0.6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19" w14:textId="77777777" w:rsidR="003741ED" w:rsidRPr="00DF7C22" w:rsidRDefault="003741ED" w:rsidP="00850A0F">
            <w:pPr>
              <w:pStyle w:val="TableText"/>
              <w:tabs>
                <w:tab w:val="decimal" w:pos="510"/>
              </w:tabs>
              <w:rPr>
                <w:lang w:eastAsia="en-NZ"/>
              </w:rPr>
            </w:pPr>
            <w:r w:rsidRPr="00DF7C22">
              <w:rPr>
                <w:lang w:eastAsia="en-NZ"/>
              </w:rPr>
              <w:t>23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1A" w14:textId="77777777" w:rsidR="003741ED" w:rsidRPr="00DF7C22" w:rsidRDefault="003741ED" w:rsidP="00850A0F">
            <w:pPr>
              <w:pStyle w:val="TableText"/>
              <w:tabs>
                <w:tab w:val="decimal" w:pos="369"/>
              </w:tabs>
              <w:rPr>
                <w:lang w:eastAsia="en-NZ"/>
              </w:rPr>
            </w:pPr>
            <w:r w:rsidRPr="00DF7C22">
              <w:rPr>
                <w:lang w:eastAsia="en-NZ"/>
              </w:rPr>
              <w:t>0.5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1B" w14:textId="77777777" w:rsidR="003741ED" w:rsidRPr="00DF7C22" w:rsidRDefault="003741ED" w:rsidP="00850A0F">
            <w:pPr>
              <w:pStyle w:val="TableText"/>
              <w:tabs>
                <w:tab w:val="decimal" w:pos="510"/>
              </w:tabs>
              <w:rPr>
                <w:lang w:eastAsia="en-NZ"/>
              </w:rPr>
            </w:pPr>
            <w:r w:rsidRPr="00DF7C22">
              <w:rPr>
                <w:lang w:eastAsia="en-NZ"/>
              </w:rPr>
              <w:t>23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1C" w14:textId="77777777" w:rsidR="003741ED" w:rsidRPr="00DF7C22" w:rsidRDefault="003741ED" w:rsidP="00850A0F">
            <w:pPr>
              <w:pStyle w:val="TableText"/>
              <w:tabs>
                <w:tab w:val="decimal" w:pos="369"/>
              </w:tabs>
              <w:rPr>
                <w:lang w:eastAsia="en-NZ"/>
              </w:rPr>
            </w:pPr>
            <w:r w:rsidRPr="00DF7C22">
              <w:rPr>
                <w:lang w:eastAsia="en-NZ"/>
              </w:rPr>
              <w:t>0.5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1D" w14:textId="77777777" w:rsidR="003741ED" w:rsidRPr="00DF7C22" w:rsidRDefault="003741ED" w:rsidP="00850A0F">
            <w:pPr>
              <w:pStyle w:val="TableText"/>
              <w:tabs>
                <w:tab w:val="decimal" w:pos="510"/>
              </w:tabs>
              <w:rPr>
                <w:lang w:eastAsia="en-NZ"/>
              </w:rPr>
            </w:pPr>
            <w:r w:rsidRPr="00DF7C22">
              <w:rPr>
                <w:lang w:eastAsia="en-NZ"/>
              </w:rPr>
              <w:t>25</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1E" w14:textId="77777777" w:rsidR="003741ED" w:rsidRPr="00DF7C22" w:rsidRDefault="003741ED" w:rsidP="00850A0F">
            <w:pPr>
              <w:pStyle w:val="TableText"/>
              <w:tabs>
                <w:tab w:val="decimal" w:pos="369"/>
              </w:tabs>
              <w:rPr>
                <w:lang w:eastAsia="en-NZ"/>
              </w:rPr>
            </w:pPr>
            <w:r w:rsidRPr="00DF7C22">
              <w:rPr>
                <w:lang w:eastAsia="en-NZ"/>
              </w:rPr>
              <w:t>0.6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1F" w14:textId="77777777" w:rsidR="003741ED" w:rsidRPr="00DF7C22" w:rsidRDefault="003741ED" w:rsidP="00850A0F">
            <w:pPr>
              <w:pStyle w:val="TableText"/>
              <w:tabs>
                <w:tab w:val="decimal" w:pos="510"/>
              </w:tabs>
              <w:rPr>
                <w:lang w:eastAsia="en-NZ"/>
              </w:rPr>
            </w:pPr>
            <w:r w:rsidRPr="00DF7C22">
              <w:rPr>
                <w:lang w:eastAsia="en-NZ"/>
              </w:rPr>
              <w:t>25</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20" w14:textId="77777777" w:rsidR="003741ED" w:rsidRPr="00DF7C22" w:rsidRDefault="003741ED" w:rsidP="00850A0F">
            <w:pPr>
              <w:pStyle w:val="TableText"/>
              <w:tabs>
                <w:tab w:val="decimal" w:pos="369"/>
              </w:tabs>
              <w:rPr>
                <w:lang w:eastAsia="en-NZ"/>
              </w:rPr>
            </w:pPr>
            <w:r w:rsidRPr="00DF7C22">
              <w:rPr>
                <w:lang w:eastAsia="en-NZ"/>
              </w:rPr>
              <w:t>0.6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21" w14:textId="77777777" w:rsidR="003741ED" w:rsidRPr="00DF7C22" w:rsidRDefault="003741ED" w:rsidP="00850A0F">
            <w:pPr>
              <w:pStyle w:val="TableText"/>
              <w:tabs>
                <w:tab w:val="decimal" w:pos="510"/>
              </w:tabs>
              <w:rPr>
                <w:lang w:eastAsia="en-NZ"/>
              </w:rPr>
            </w:pPr>
            <w:r w:rsidRPr="00DF7C22">
              <w:rPr>
                <w:lang w:eastAsia="en-NZ"/>
              </w:rPr>
              <w:t>19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22" w14:textId="77777777" w:rsidR="003741ED" w:rsidRPr="00DF7C22" w:rsidRDefault="003741ED" w:rsidP="00850A0F">
            <w:pPr>
              <w:pStyle w:val="TableText"/>
              <w:tabs>
                <w:tab w:val="decimal" w:pos="369"/>
              </w:tabs>
              <w:rPr>
                <w:lang w:eastAsia="en-NZ"/>
              </w:rPr>
            </w:pPr>
            <w:r w:rsidRPr="00DF7C22">
              <w:rPr>
                <w:lang w:eastAsia="en-NZ"/>
              </w:rPr>
              <w:t>0.4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23" w14:textId="77777777" w:rsidR="003741ED" w:rsidRPr="00DF7C22" w:rsidRDefault="003741ED" w:rsidP="00850A0F">
            <w:pPr>
              <w:pStyle w:val="TableText"/>
              <w:tabs>
                <w:tab w:val="decimal" w:pos="510"/>
              </w:tabs>
              <w:rPr>
                <w:lang w:eastAsia="en-NZ"/>
              </w:rPr>
            </w:pPr>
            <w:r w:rsidRPr="00DF7C22">
              <w:rPr>
                <w:lang w:eastAsia="en-NZ"/>
              </w:rPr>
              <w:t>13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24" w14:textId="77777777" w:rsidR="003741ED" w:rsidRPr="00DF7C22" w:rsidRDefault="003741ED" w:rsidP="00850A0F">
            <w:pPr>
              <w:pStyle w:val="TableText"/>
              <w:tabs>
                <w:tab w:val="decimal" w:pos="369"/>
              </w:tabs>
              <w:rPr>
                <w:lang w:eastAsia="en-NZ"/>
              </w:rPr>
            </w:pPr>
            <w:r w:rsidRPr="00DF7C22">
              <w:rPr>
                <w:lang w:eastAsia="en-NZ"/>
              </w:rPr>
              <w:t>0.3</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25" w14:textId="77777777" w:rsidR="003741ED" w:rsidRPr="00DF7C22" w:rsidRDefault="003741ED" w:rsidP="00850A0F">
            <w:pPr>
              <w:pStyle w:val="TableText"/>
              <w:tabs>
                <w:tab w:val="decimal" w:pos="510"/>
              </w:tabs>
              <w:rPr>
                <w:lang w:eastAsia="en-NZ"/>
              </w:rPr>
            </w:pPr>
            <w:r w:rsidRPr="00DF7C22">
              <w:rPr>
                <w:lang w:eastAsia="en-NZ"/>
              </w:rPr>
              <w:t>22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26" w14:textId="77777777" w:rsidR="003741ED" w:rsidRPr="00DF7C22" w:rsidRDefault="003741ED" w:rsidP="00850A0F">
            <w:pPr>
              <w:pStyle w:val="TableText"/>
              <w:tabs>
                <w:tab w:val="decimal" w:pos="369"/>
              </w:tabs>
              <w:rPr>
                <w:lang w:eastAsia="en-NZ"/>
              </w:rPr>
            </w:pPr>
            <w:r w:rsidRPr="00DF7C22">
              <w:rPr>
                <w:lang w:eastAsia="en-NZ"/>
              </w:rPr>
              <w:t>0.5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27" w14:textId="77777777" w:rsidR="003741ED" w:rsidRPr="00DF7C22" w:rsidRDefault="003741ED" w:rsidP="00850A0F">
            <w:pPr>
              <w:pStyle w:val="TableText"/>
              <w:tabs>
                <w:tab w:val="decimal" w:pos="510"/>
              </w:tabs>
              <w:rPr>
                <w:lang w:eastAsia="en-NZ"/>
              </w:rPr>
            </w:pPr>
            <w:r w:rsidRPr="00DF7C22">
              <w:rPr>
                <w:lang w:eastAsia="en-NZ"/>
              </w:rPr>
              <w:t>25</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F28" w14:textId="77777777" w:rsidR="003741ED" w:rsidRPr="00DF7C22" w:rsidRDefault="003741ED" w:rsidP="00850A0F">
            <w:pPr>
              <w:pStyle w:val="TableText"/>
              <w:tabs>
                <w:tab w:val="decimal" w:pos="369"/>
              </w:tabs>
              <w:rPr>
                <w:lang w:eastAsia="en-NZ"/>
              </w:rPr>
            </w:pPr>
            <w:r w:rsidRPr="00DF7C22">
              <w:rPr>
                <w:lang w:eastAsia="en-NZ"/>
              </w:rPr>
              <w:t>0.6</w:t>
            </w:r>
          </w:p>
        </w:tc>
      </w:tr>
      <w:tr w:rsidR="00850A0F" w:rsidRPr="00DF7C22" w14:paraId="041E2F3F"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2A" w14:textId="77777777" w:rsidR="003741ED" w:rsidRPr="00DF7C22" w:rsidRDefault="003741ED" w:rsidP="00397776">
            <w:pPr>
              <w:pStyle w:val="TableText"/>
              <w:rPr>
                <w:lang w:eastAsia="en-NZ"/>
              </w:rPr>
            </w:pPr>
            <w:r w:rsidRPr="00DF7C22">
              <w:rPr>
                <w:lang w:eastAsia="en-NZ"/>
              </w:rPr>
              <w:t>Salmonellosis</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2B"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081</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2C" w14:textId="77777777" w:rsidR="003741ED" w:rsidRPr="00DF7C22" w:rsidRDefault="003741ED" w:rsidP="00850A0F">
            <w:pPr>
              <w:pStyle w:val="TableText"/>
              <w:tabs>
                <w:tab w:val="decimal" w:pos="369"/>
              </w:tabs>
              <w:rPr>
                <w:lang w:eastAsia="en-NZ"/>
              </w:rPr>
            </w:pPr>
            <w:r w:rsidRPr="00DF7C22">
              <w:rPr>
                <w:lang w:eastAsia="en-NZ"/>
              </w:rPr>
              <w:t>26.4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2D"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382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2E" w14:textId="77777777" w:rsidR="003741ED" w:rsidRPr="00DF7C22" w:rsidRDefault="003741ED" w:rsidP="00850A0F">
            <w:pPr>
              <w:pStyle w:val="TableText"/>
              <w:tabs>
                <w:tab w:val="decimal" w:pos="369"/>
              </w:tabs>
              <w:rPr>
                <w:lang w:eastAsia="en-NZ"/>
              </w:rPr>
            </w:pPr>
            <w:r w:rsidRPr="00DF7C22">
              <w:rPr>
                <w:lang w:eastAsia="en-NZ"/>
              </w:rPr>
              <w:t>33.4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2F"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335</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30" w14:textId="77777777" w:rsidR="003741ED" w:rsidRPr="00DF7C22" w:rsidRDefault="003741ED" w:rsidP="00850A0F">
            <w:pPr>
              <w:pStyle w:val="TableText"/>
              <w:tabs>
                <w:tab w:val="decimal" w:pos="369"/>
              </w:tabs>
              <w:rPr>
                <w:lang w:eastAsia="en-NZ"/>
              </w:rPr>
            </w:pPr>
            <w:r w:rsidRPr="00DF7C22">
              <w:rPr>
                <w:lang w:eastAsia="en-NZ"/>
              </w:rPr>
              <w:t>31.9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31" w14:textId="77777777" w:rsidR="003741ED" w:rsidRPr="00DF7C22" w:rsidRDefault="003741ED" w:rsidP="00850A0F">
            <w:pPr>
              <w:pStyle w:val="TableText"/>
              <w:tabs>
                <w:tab w:val="decimal" w:pos="510"/>
              </w:tabs>
              <w:rPr>
                <w:lang w:eastAsia="en-NZ"/>
              </w:rPr>
            </w:pPr>
            <w:r w:rsidRPr="00DF7C22">
              <w:rPr>
                <w:lang w:eastAsia="en-NZ"/>
              </w:rPr>
              <w:t>1275</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32" w14:textId="77777777" w:rsidR="003741ED" w:rsidRPr="00DF7C22" w:rsidRDefault="003741ED" w:rsidP="00850A0F">
            <w:pPr>
              <w:pStyle w:val="TableText"/>
              <w:tabs>
                <w:tab w:val="decimal" w:pos="369"/>
              </w:tabs>
              <w:rPr>
                <w:lang w:eastAsia="en-NZ"/>
              </w:rPr>
            </w:pPr>
            <w:r w:rsidRPr="00DF7C22">
              <w:rPr>
                <w:lang w:eastAsia="en-NZ"/>
              </w:rPr>
              <w:t>30.2</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33"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339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34" w14:textId="77777777" w:rsidR="003741ED" w:rsidRPr="00DF7C22" w:rsidRDefault="003741ED" w:rsidP="00850A0F">
            <w:pPr>
              <w:pStyle w:val="TableText"/>
              <w:tabs>
                <w:tab w:val="decimal" w:pos="369"/>
              </w:tabs>
              <w:rPr>
                <w:lang w:eastAsia="en-NZ"/>
              </w:rPr>
            </w:pPr>
            <w:r w:rsidRPr="00DF7C22">
              <w:rPr>
                <w:lang w:eastAsia="en-NZ"/>
              </w:rPr>
              <w:t>31.4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35"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128</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36" w14:textId="77777777" w:rsidR="003741ED" w:rsidRPr="00DF7C22" w:rsidRDefault="003741ED" w:rsidP="00850A0F">
            <w:pPr>
              <w:pStyle w:val="TableText"/>
              <w:tabs>
                <w:tab w:val="decimal" w:pos="369"/>
              </w:tabs>
              <w:rPr>
                <w:lang w:eastAsia="en-NZ"/>
              </w:rPr>
            </w:pPr>
            <w:r w:rsidRPr="00DF7C22">
              <w:rPr>
                <w:lang w:eastAsia="en-NZ"/>
              </w:rPr>
              <w:t>26.1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37"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146</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38" w14:textId="77777777" w:rsidR="003741ED" w:rsidRPr="00DF7C22" w:rsidRDefault="003741ED" w:rsidP="00850A0F">
            <w:pPr>
              <w:pStyle w:val="TableText"/>
              <w:tabs>
                <w:tab w:val="decimal" w:pos="369"/>
              </w:tabs>
              <w:rPr>
                <w:lang w:eastAsia="en-NZ"/>
              </w:rPr>
            </w:pPr>
            <w:r w:rsidRPr="00DF7C22">
              <w:rPr>
                <w:lang w:eastAsia="en-NZ"/>
              </w:rPr>
              <w:t>26.2</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39"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055</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3A" w14:textId="77777777" w:rsidR="003741ED" w:rsidRPr="00DF7C22" w:rsidRDefault="003741ED" w:rsidP="00850A0F">
            <w:pPr>
              <w:pStyle w:val="TableText"/>
              <w:tabs>
                <w:tab w:val="decimal" w:pos="369"/>
              </w:tabs>
              <w:rPr>
                <w:lang w:eastAsia="en-NZ"/>
              </w:rPr>
            </w:pPr>
            <w:r w:rsidRPr="00DF7C22">
              <w:rPr>
                <w:lang w:eastAsia="en-NZ"/>
              </w:rPr>
              <w:t>23.9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3B"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081</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3C" w14:textId="77777777" w:rsidR="003741ED" w:rsidRPr="00DF7C22" w:rsidRDefault="003741ED" w:rsidP="00850A0F">
            <w:pPr>
              <w:pStyle w:val="TableText"/>
              <w:tabs>
                <w:tab w:val="decimal" w:pos="369"/>
              </w:tabs>
              <w:rPr>
                <w:lang w:eastAsia="en-NZ"/>
              </w:rPr>
            </w:pPr>
            <w:r w:rsidRPr="00DF7C22">
              <w:rPr>
                <w:lang w:eastAsia="en-NZ"/>
              </w:rPr>
              <w:t>24.4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3D" w14:textId="77777777" w:rsidR="003741ED" w:rsidRPr="00DF7C22" w:rsidRDefault="003741ED" w:rsidP="00850A0F">
            <w:pPr>
              <w:pStyle w:val="TableText"/>
              <w:tabs>
                <w:tab w:val="decimal" w:pos="510"/>
              </w:tabs>
              <w:rPr>
                <w:lang w:eastAsia="en-NZ"/>
              </w:rPr>
            </w:pPr>
            <w:r w:rsidRPr="00DF7C22">
              <w:rPr>
                <w:lang w:eastAsia="en-NZ"/>
              </w:rPr>
              <w:t>1</w:t>
            </w:r>
            <w:r w:rsidR="00850A0F">
              <w:rPr>
                <w:lang w:eastAsia="en-NZ"/>
              </w:rPr>
              <w:t>,</w:t>
            </w:r>
            <w:r w:rsidRPr="00DF7C22">
              <w:rPr>
                <w:lang w:eastAsia="en-NZ"/>
              </w:rPr>
              <w:t>143</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F3E" w14:textId="77777777" w:rsidR="003741ED" w:rsidRPr="00DF7C22" w:rsidRDefault="003741ED" w:rsidP="00850A0F">
            <w:pPr>
              <w:pStyle w:val="TableText"/>
              <w:tabs>
                <w:tab w:val="decimal" w:pos="369"/>
              </w:tabs>
              <w:rPr>
                <w:lang w:eastAsia="en-NZ"/>
              </w:rPr>
            </w:pPr>
            <w:r w:rsidRPr="00DF7C22">
              <w:rPr>
                <w:lang w:eastAsia="en-NZ"/>
              </w:rPr>
              <w:t>25.6</w:t>
            </w:r>
          </w:p>
        </w:tc>
      </w:tr>
      <w:tr w:rsidR="00850A0F" w:rsidRPr="00DF7C22" w14:paraId="041E2F55"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40" w14:textId="77777777" w:rsidR="003741ED" w:rsidRPr="00DF7C22" w:rsidRDefault="003741ED" w:rsidP="00397776">
            <w:pPr>
              <w:pStyle w:val="TableText"/>
              <w:rPr>
                <w:lang w:eastAsia="en-NZ"/>
              </w:rPr>
            </w:pPr>
            <w:r w:rsidRPr="00DF7C22">
              <w:rPr>
                <w:lang w:eastAsia="en-NZ"/>
              </w:rPr>
              <w:t>Shigellosis</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41" w14:textId="77777777" w:rsidR="003741ED" w:rsidRPr="00DF7C22" w:rsidRDefault="003741ED" w:rsidP="00850A0F">
            <w:pPr>
              <w:pStyle w:val="TableText"/>
              <w:tabs>
                <w:tab w:val="decimal" w:pos="510"/>
              </w:tabs>
              <w:rPr>
                <w:lang w:eastAsia="en-NZ"/>
              </w:rPr>
            </w:pPr>
            <w:r w:rsidRPr="00DF7C22">
              <w:rPr>
                <w:lang w:eastAsia="en-NZ"/>
              </w:rPr>
              <w:t>140</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42" w14:textId="77777777" w:rsidR="003741ED" w:rsidRPr="00DF7C22" w:rsidRDefault="003741ED" w:rsidP="00850A0F">
            <w:pPr>
              <w:pStyle w:val="TableText"/>
              <w:tabs>
                <w:tab w:val="decimal" w:pos="369"/>
              </w:tabs>
              <w:rPr>
                <w:lang w:eastAsia="en-NZ"/>
              </w:rPr>
            </w:pPr>
            <w:r w:rsidRPr="00DF7C22">
              <w:rPr>
                <w:lang w:eastAsia="en-NZ"/>
              </w:rPr>
              <w:t>3.4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43" w14:textId="77777777" w:rsidR="003741ED" w:rsidRPr="00DF7C22" w:rsidRDefault="003741ED" w:rsidP="00850A0F">
            <w:pPr>
              <w:pStyle w:val="TableText"/>
              <w:tabs>
                <w:tab w:val="decimal" w:pos="510"/>
              </w:tabs>
              <w:rPr>
                <w:lang w:eastAsia="en-NZ"/>
              </w:rPr>
            </w:pPr>
            <w:r w:rsidRPr="00DF7C22">
              <w:rPr>
                <w:lang w:eastAsia="en-NZ"/>
              </w:rPr>
              <w:t>183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44" w14:textId="77777777" w:rsidR="003741ED" w:rsidRPr="00DF7C22" w:rsidRDefault="003741ED" w:rsidP="00850A0F">
            <w:pPr>
              <w:pStyle w:val="TableText"/>
              <w:tabs>
                <w:tab w:val="decimal" w:pos="369"/>
              </w:tabs>
              <w:rPr>
                <w:lang w:eastAsia="en-NZ"/>
              </w:rPr>
            </w:pPr>
            <w:r w:rsidRPr="00DF7C22">
              <w:rPr>
                <w:lang w:eastAsia="en-NZ"/>
              </w:rPr>
              <w:t>4.4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45" w14:textId="77777777" w:rsidR="003741ED" w:rsidRPr="00DF7C22" w:rsidRDefault="003741ED" w:rsidP="00850A0F">
            <w:pPr>
              <w:pStyle w:val="TableText"/>
              <w:tabs>
                <w:tab w:val="decimal" w:pos="510"/>
              </w:tabs>
              <w:rPr>
                <w:lang w:eastAsia="en-NZ"/>
              </w:rPr>
            </w:pPr>
            <w:r w:rsidRPr="00DF7C22">
              <w:rPr>
                <w:lang w:eastAsia="en-NZ"/>
              </w:rPr>
              <w:t>102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46" w14:textId="77777777" w:rsidR="003741ED" w:rsidRPr="00DF7C22" w:rsidRDefault="003741ED" w:rsidP="00850A0F">
            <w:pPr>
              <w:pStyle w:val="TableText"/>
              <w:tabs>
                <w:tab w:val="decimal" w:pos="369"/>
              </w:tabs>
              <w:rPr>
                <w:lang w:eastAsia="en-NZ"/>
              </w:rPr>
            </w:pPr>
            <w:r w:rsidRPr="00DF7C22">
              <w:rPr>
                <w:lang w:eastAsia="en-NZ"/>
              </w:rPr>
              <w:t>2.4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47" w14:textId="77777777" w:rsidR="003741ED" w:rsidRPr="00DF7C22" w:rsidRDefault="003741ED" w:rsidP="00850A0F">
            <w:pPr>
              <w:pStyle w:val="TableText"/>
              <w:tabs>
                <w:tab w:val="decimal" w:pos="510"/>
              </w:tabs>
              <w:rPr>
                <w:lang w:eastAsia="en-NZ"/>
              </w:rPr>
            </w:pPr>
            <w:r w:rsidRPr="00DF7C22">
              <w:rPr>
                <w:lang w:eastAsia="en-NZ"/>
              </w:rPr>
              <w:t>129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48" w14:textId="77777777" w:rsidR="003741ED" w:rsidRPr="00DF7C22" w:rsidRDefault="003741ED" w:rsidP="00850A0F">
            <w:pPr>
              <w:pStyle w:val="TableText"/>
              <w:tabs>
                <w:tab w:val="decimal" w:pos="369"/>
              </w:tabs>
              <w:rPr>
                <w:lang w:eastAsia="en-NZ"/>
              </w:rPr>
            </w:pPr>
            <w:r w:rsidRPr="00DF7C22">
              <w:rPr>
                <w:lang w:eastAsia="en-NZ"/>
              </w:rPr>
              <w:t>3.1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49" w14:textId="77777777" w:rsidR="003741ED" w:rsidRPr="00DF7C22" w:rsidRDefault="003741ED" w:rsidP="00850A0F">
            <w:pPr>
              <w:pStyle w:val="TableText"/>
              <w:tabs>
                <w:tab w:val="decimal" w:pos="510"/>
              </w:tabs>
              <w:rPr>
                <w:lang w:eastAsia="en-NZ"/>
              </w:rPr>
            </w:pPr>
            <w:r w:rsidRPr="00DF7C22">
              <w:rPr>
                <w:lang w:eastAsia="en-NZ"/>
              </w:rPr>
              <w:t>113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4A" w14:textId="77777777" w:rsidR="003741ED" w:rsidRPr="00DF7C22" w:rsidRDefault="003741ED" w:rsidP="00850A0F">
            <w:pPr>
              <w:pStyle w:val="TableText"/>
              <w:tabs>
                <w:tab w:val="decimal" w:pos="369"/>
              </w:tabs>
              <w:rPr>
                <w:lang w:eastAsia="en-NZ"/>
              </w:rPr>
            </w:pPr>
            <w:r w:rsidRPr="00DF7C22">
              <w:rPr>
                <w:lang w:eastAsia="en-NZ"/>
              </w:rPr>
              <w:t>2.6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4B" w14:textId="77777777" w:rsidR="003741ED" w:rsidRPr="00DF7C22" w:rsidRDefault="003741ED" w:rsidP="00850A0F">
            <w:pPr>
              <w:pStyle w:val="TableText"/>
              <w:tabs>
                <w:tab w:val="decimal" w:pos="510"/>
              </w:tabs>
              <w:rPr>
                <w:lang w:eastAsia="en-NZ"/>
              </w:rPr>
            </w:pPr>
            <w:r w:rsidRPr="00DF7C22">
              <w:rPr>
                <w:lang w:eastAsia="en-NZ"/>
              </w:rPr>
              <w:t>119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4C" w14:textId="77777777" w:rsidR="003741ED" w:rsidRPr="00DF7C22" w:rsidRDefault="003741ED" w:rsidP="00850A0F">
            <w:pPr>
              <w:pStyle w:val="TableText"/>
              <w:tabs>
                <w:tab w:val="decimal" w:pos="369"/>
              </w:tabs>
              <w:rPr>
                <w:lang w:eastAsia="en-NZ"/>
              </w:rPr>
            </w:pPr>
            <w:r w:rsidRPr="00DF7C22">
              <w:rPr>
                <w:lang w:eastAsia="en-NZ"/>
              </w:rPr>
              <w:t>2.8</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4D" w14:textId="77777777" w:rsidR="003741ED" w:rsidRPr="00DF7C22" w:rsidRDefault="003741ED" w:rsidP="00850A0F">
            <w:pPr>
              <w:pStyle w:val="TableText"/>
              <w:tabs>
                <w:tab w:val="decimal" w:pos="510"/>
              </w:tabs>
              <w:rPr>
                <w:lang w:eastAsia="en-NZ"/>
              </w:rPr>
            </w:pPr>
            <w:r w:rsidRPr="00DF7C22">
              <w:rPr>
                <w:lang w:eastAsia="en-NZ"/>
              </w:rPr>
              <w:t>104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4E" w14:textId="77777777" w:rsidR="003741ED" w:rsidRPr="00DF7C22" w:rsidRDefault="003741ED" w:rsidP="00850A0F">
            <w:pPr>
              <w:pStyle w:val="TableText"/>
              <w:tabs>
                <w:tab w:val="decimal" w:pos="369"/>
              </w:tabs>
              <w:rPr>
                <w:lang w:eastAsia="en-NZ"/>
              </w:rPr>
            </w:pPr>
            <w:r w:rsidRPr="00DF7C22">
              <w:rPr>
                <w:lang w:eastAsia="en-NZ"/>
              </w:rPr>
              <w:t>2.4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4F" w14:textId="77777777" w:rsidR="003741ED" w:rsidRPr="00DF7C22" w:rsidRDefault="003741ED" w:rsidP="00850A0F">
            <w:pPr>
              <w:pStyle w:val="TableText"/>
              <w:tabs>
                <w:tab w:val="decimal" w:pos="510"/>
              </w:tabs>
              <w:rPr>
                <w:lang w:eastAsia="en-NZ"/>
              </w:rPr>
            </w:pPr>
            <w:r w:rsidRPr="00DF7C22">
              <w:rPr>
                <w:lang w:eastAsia="en-NZ"/>
              </w:rPr>
              <w:t>101</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50" w14:textId="77777777" w:rsidR="003741ED" w:rsidRPr="00DF7C22" w:rsidRDefault="003741ED" w:rsidP="00850A0F">
            <w:pPr>
              <w:pStyle w:val="TableText"/>
              <w:tabs>
                <w:tab w:val="decimal" w:pos="369"/>
              </w:tabs>
              <w:rPr>
                <w:lang w:eastAsia="en-NZ"/>
              </w:rPr>
            </w:pPr>
            <w:r w:rsidRPr="00DF7C22">
              <w:rPr>
                <w:lang w:eastAsia="en-NZ"/>
              </w:rPr>
              <w:t>2.3</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51" w14:textId="77777777" w:rsidR="003741ED" w:rsidRPr="00DF7C22" w:rsidRDefault="003741ED" w:rsidP="00850A0F">
            <w:pPr>
              <w:pStyle w:val="TableText"/>
              <w:tabs>
                <w:tab w:val="decimal" w:pos="510"/>
              </w:tabs>
              <w:rPr>
                <w:lang w:eastAsia="en-NZ"/>
              </w:rPr>
            </w:pPr>
            <w:r w:rsidRPr="00DF7C22">
              <w:rPr>
                <w:lang w:eastAsia="en-NZ"/>
              </w:rPr>
              <w:t>132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52" w14:textId="77777777" w:rsidR="003741ED" w:rsidRPr="00DF7C22" w:rsidRDefault="003741ED" w:rsidP="00850A0F">
            <w:pPr>
              <w:pStyle w:val="TableText"/>
              <w:tabs>
                <w:tab w:val="decimal" w:pos="369"/>
              </w:tabs>
              <w:rPr>
                <w:lang w:eastAsia="en-NZ"/>
              </w:rPr>
            </w:pPr>
            <w:r w:rsidRPr="00DF7C22">
              <w:rPr>
                <w:lang w:eastAsia="en-NZ"/>
              </w:rPr>
              <w:t>3.0</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53" w14:textId="77777777" w:rsidR="003741ED" w:rsidRPr="00DF7C22" w:rsidRDefault="003741ED" w:rsidP="00850A0F">
            <w:pPr>
              <w:pStyle w:val="TableText"/>
              <w:tabs>
                <w:tab w:val="decimal" w:pos="510"/>
              </w:tabs>
              <w:rPr>
                <w:lang w:eastAsia="en-NZ"/>
              </w:rPr>
            </w:pPr>
            <w:r w:rsidRPr="00DF7C22">
              <w:rPr>
                <w:lang w:eastAsia="en-NZ"/>
              </w:rPr>
              <w:t>137</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F54" w14:textId="77777777" w:rsidR="003741ED" w:rsidRPr="00DF7C22" w:rsidRDefault="003741ED" w:rsidP="00850A0F">
            <w:pPr>
              <w:pStyle w:val="TableText"/>
              <w:tabs>
                <w:tab w:val="decimal" w:pos="369"/>
              </w:tabs>
              <w:rPr>
                <w:lang w:eastAsia="en-NZ"/>
              </w:rPr>
            </w:pPr>
            <w:r w:rsidRPr="00DF7C22">
              <w:rPr>
                <w:lang w:eastAsia="en-NZ"/>
              </w:rPr>
              <w:t>3.1</w:t>
            </w:r>
          </w:p>
        </w:tc>
      </w:tr>
      <w:tr w:rsidR="00850A0F" w:rsidRPr="00DF7C22" w14:paraId="041E2F6B"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56" w14:textId="77777777" w:rsidR="003741ED" w:rsidRPr="00DF7C22" w:rsidRDefault="003741ED" w:rsidP="00397776">
            <w:pPr>
              <w:pStyle w:val="TableText"/>
              <w:rPr>
                <w:lang w:eastAsia="en-NZ"/>
              </w:rPr>
            </w:pPr>
            <w:r w:rsidRPr="00DF7C22">
              <w:rPr>
                <w:lang w:eastAsia="en-NZ"/>
              </w:rPr>
              <w:t>Typhoid fever</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57" w14:textId="77777777" w:rsidR="003741ED" w:rsidRPr="00DF7C22" w:rsidRDefault="003741ED" w:rsidP="00850A0F">
            <w:pPr>
              <w:pStyle w:val="TableText"/>
              <w:tabs>
                <w:tab w:val="decimal" w:pos="510"/>
              </w:tabs>
              <w:rPr>
                <w:lang w:eastAsia="en-NZ"/>
              </w:rPr>
            </w:pPr>
            <w:r w:rsidRPr="00DF7C22">
              <w:rPr>
                <w:lang w:eastAsia="en-NZ"/>
              </w:rPr>
              <w:t>31</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58" w14:textId="77777777" w:rsidR="003741ED" w:rsidRPr="00DF7C22" w:rsidRDefault="003741ED" w:rsidP="00850A0F">
            <w:pPr>
              <w:pStyle w:val="TableText"/>
              <w:tabs>
                <w:tab w:val="decimal" w:pos="369"/>
              </w:tabs>
              <w:rPr>
                <w:lang w:eastAsia="en-NZ"/>
              </w:rPr>
            </w:pPr>
            <w:r w:rsidRPr="00DF7C22">
              <w:rPr>
                <w:lang w:eastAsia="en-NZ"/>
              </w:rPr>
              <w:t>0.8</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59" w14:textId="77777777" w:rsidR="003741ED" w:rsidRPr="00DF7C22" w:rsidRDefault="003741ED" w:rsidP="00850A0F">
            <w:pPr>
              <w:pStyle w:val="TableText"/>
              <w:tabs>
                <w:tab w:val="decimal" w:pos="510"/>
              </w:tabs>
              <w:rPr>
                <w:lang w:eastAsia="en-NZ"/>
              </w:rPr>
            </w:pPr>
            <w:r w:rsidRPr="00DF7C22">
              <w:rPr>
                <w:lang w:eastAsia="en-NZ"/>
              </w:rPr>
              <w:t>30</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5A" w14:textId="77777777" w:rsidR="003741ED" w:rsidRPr="00DF7C22" w:rsidRDefault="003741ED" w:rsidP="00850A0F">
            <w:pPr>
              <w:pStyle w:val="TableText"/>
              <w:tabs>
                <w:tab w:val="decimal" w:pos="369"/>
              </w:tabs>
              <w:rPr>
                <w:lang w:eastAsia="en-NZ"/>
              </w:rPr>
            </w:pPr>
            <w:r w:rsidRPr="00DF7C22">
              <w:rPr>
                <w:lang w:eastAsia="en-NZ"/>
              </w:rPr>
              <w:t>0.7</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5B" w14:textId="77777777" w:rsidR="003741ED" w:rsidRPr="00DF7C22" w:rsidRDefault="003741ED" w:rsidP="00850A0F">
            <w:pPr>
              <w:pStyle w:val="TableText"/>
              <w:tabs>
                <w:tab w:val="decimal" w:pos="510"/>
              </w:tabs>
              <w:rPr>
                <w:lang w:eastAsia="en-NZ"/>
              </w:rPr>
            </w:pPr>
            <w:r w:rsidRPr="00DF7C22">
              <w:rPr>
                <w:lang w:eastAsia="en-NZ"/>
              </w:rPr>
              <w:t>42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5C" w14:textId="77777777" w:rsidR="003741ED" w:rsidRPr="00DF7C22" w:rsidRDefault="003741ED" w:rsidP="00850A0F">
            <w:pPr>
              <w:pStyle w:val="TableText"/>
              <w:tabs>
                <w:tab w:val="decimal" w:pos="369"/>
              </w:tabs>
              <w:rPr>
                <w:lang w:eastAsia="en-NZ"/>
              </w:rPr>
            </w:pPr>
            <w:r w:rsidRPr="00DF7C22">
              <w:rPr>
                <w:lang w:eastAsia="en-NZ"/>
              </w:rPr>
              <w:t>1.0</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5D" w14:textId="77777777" w:rsidR="003741ED" w:rsidRPr="00DF7C22" w:rsidRDefault="003741ED" w:rsidP="00850A0F">
            <w:pPr>
              <w:pStyle w:val="TableText"/>
              <w:tabs>
                <w:tab w:val="decimal" w:pos="510"/>
              </w:tabs>
              <w:rPr>
                <w:lang w:eastAsia="en-NZ"/>
              </w:rPr>
            </w:pPr>
            <w:r w:rsidRPr="00DF7C22">
              <w:rPr>
                <w:lang w:eastAsia="en-NZ"/>
              </w:rPr>
              <w:t>48</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5E" w14:textId="77777777" w:rsidR="003741ED" w:rsidRPr="00DF7C22" w:rsidRDefault="003741ED" w:rsidP="00850A0F">
            <w:pPr>
              <w:pStyle w:val="TableText"/>
              <w:tabs>
                <w:tab w:val="decimal" w:pos="369"/>
              </w:tabs>
              <w:rPr>
                <w:lang w:eastAsia="en-NZ"/>
              </w:rPr>
            </w:pPr>
            <w:r w:rsidRPr="00DF7C22">
              <w:rPr>
                <w:lang w:eastAsia="en-NZ"/>
              </w:rPr>
              <w:t>1.1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5F" w14:textId="77777777" w:rsidR="003741ED" w:rsidRPr="00DF7C22" w:rsidRDefault="003741ED" w:rsidP="00850A0F">
            <w:pPr>
              <w:pStyle w:val="TableText"/>
              <w:tabs>
                <w:tab w:val="decimal" w:pos="510"/>
              </w:tabs>
              <w:rPr>
                <w:lang w:eastAsia="en-NZ"/>
              </w:rPr>
            </w:pPr>
            <w:r w:rsidRPr="00DF7C22">
              <w:rPr>
                <w:lang w:eastAsia="en-NZ"/>
              </w:rPr>
              <w:t>29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60" w14:textId="77777777" w:rsidR="003741ED" w:rsidRPr="00DF7C22" w:rsidRDefault="003741ED" w:rsidP="00850A0F">
            <w:pPr>
              <w:pStyle w:val="TableText"/>
              <w:tabs>
                <w:tab w:val="decimal" w:pos="369"/>
              </w:tabs>
              <w:rPr>
                <w:lang w:eastAsia="en-NZ"/>
              </w:rPr>
            </w:pPr>
            <w:r w:rsidRPr="00DF7C22">
              <w:rPr>
                <w:lang w:eastAsia="en-NZ"/>
              </w:rPr>
              <w:t>0.7</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61" w14:textId="77777777" w:rsidR="003741ED" w:rsidRPr="00DF7C22" w:rsidRDefault="003741ED" w:rsidP="00850A0F">
            <w:pPr>
              <w:pStyle w:val="TableText"/>
              <w:tabs>
                <w:tab w:val="decimal" w:pos="510"/>
              </w:tabs>
              <w:rPr>
                <w:lang w:eastAsia="en-NZ"/>
              </w:rPr>
            </w:pPr>
            <w:r w:rsidRPr="00DF7C22">
              <w:rPr>
                <w:lang w:eastAsia="en-NZ"/>
              </w:rPr>
              <w:t>34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62" w14:textId="77777777" w:rsidR="003741ED" w:rsidRPr="00DF7C22" w:rsidRDefault="003741ED" w:rsidP="00850A0F">
            <w:pPr>
              <w:pStyle w:val="TableText"/>
              <w:tabs>
                <w:tab w:val="decimal" w:pos="369"/>
              </w:tabs>
              <w:rPr>
                <w:lang w:eastAsia="en-NZ"/>
              </w:rPr>
            </w:pPr>
            <w:r w:rsidRPr="00DF7C22">
              <w:rPr>
                <w:lang w:eastAsia="en-NZ"/>
              </w:rPr>
              <w:t>0.8</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63" w14:textId="77777777" w:rsidR="003741ED" w:rsidRPr="00DF7C22" w:rsidRDefault="003741ED" w:rsidP="00850A0F">
            <w:pPr>
              <w:pStyle w:val="TableText"/>
              <w:tabs>
                <w:tab w:val="decimal" w:pos="510"/>
              </w:tabs>
              <w:rPr>
                <w:lang w:eastAsia="en-NZ"/>
              </w:rPr>
            </w:pPr>
            <w:r w:rsidRPr="00DF7C22">
              <w:rPr>
                <w:lang w:eastAsia="en-NZ"/>
              </w:rPr>
              <w:t>31</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64" w14:textId="77777777" w:rsidR="003741ED" w:rsidRPr="00DF7C22" w:rsidRDefault="003741ED" w:rsidP="00850A0F">
            <w:pPr>
              <w:pStyle w:val="TableText"/>
              <w:tabs>
                <w:tab w:val="decimal" w:pos="369"/>
              </w:tabs>
              <w:rPr>
                <w:lang w:eastAsia="en-NZ"/>
              </w:rPr>
            </w:pPr>
            <w:r w:rsidRPr="00DF7C22">
              <w:rPr>
                <w:lang w:eastAsia="en-NZ"/>
              </w:rPr>
              <w:t>0.7</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65" w14:textId="77777777" w:rsidR="003741ED" w:rsidRPr="00DF7C22" w:rsidRDefault="003741ED" w:rsidP="00850A0F">
            <w:pPr>
              <w:pStyle w:val="TableText"/>
              <w:tabs>
                <w:tab w:val="decimal" w:pos="510"/>
              </w:tabs>
              <w:rPr>
                <w:lang w:eastAsia="en-NZ"/>
              </w:rPr>
            </w:pPr>
            <w:r w:rsidRPr="00DF7C22">
              <w:rPr>
                <w:lang w:eastAsia="en-NZ"/>
              </w:rPr>
              <w:t>45</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66" w14:textId="77777777" w:rsidR="003741ED" w:rsidRPr="00DF7C22" w:rsidRDefault="003741ED" w:rsidP="00850A0F">
            <w:pPr>
              <w:pStyle w:val="TableText"/>
              <w:tabs>
                <w:tab w:val="decimal" w:pos="369"/>
              </w:tabs>
              <w:rPr>
                <w:lang w:eastAsia="en-NZ"/>
              </w:rPr>
            </w:pPr>
            <w:r w:rsidRPr="00DF7C22">
              <w:rPr>
                <w:lang w:eastAsia="en-NZ"/>
              </w:rPr>
              <w:t>1.0</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67" w14:textId="77777777" w:rsidR="003741ED" w:rsidRPr="00DF7C22" w:rsidRDefault="003741ED" w:rsidP="00850A0F">
            <w:pPr>
              <w:pStyle w:val="TableText"/>
              <w:tabs>
                <w:tab w:val="decimal" w:pos="510"/>
              </w:tabs>
              <w:rPr>
                <w:lang w:eastAsia="en-NZ"/>
              </w:rPr>
            </w:pPr>
            <w:r w:rsidRPr="00DF7C22">
              <w:rPr>
                <w:lang w:eastAsia="en-NZ"/>
              </w:rPr>
              <w:t>44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68" w14:textId="77777777" w:rsidR="003741ED" w:rsidRPr="00DF7C22" w:rsidRDefault="003741ED" w:rsidP="00850A0F">
            <w:pPr>
              <w:pStyle w:val="TableText"/>
              <w:tabs>
                <w:tab w:val="decimal" w:pos="369"/>
              </w:tabs>
              <w:rPr>
                <w:lang w:eastAsia="en-NZ"/>
              </w:rPr>
            </w:pPr>
            <w:r w:rsidRPr="00DF7C22">
              <w:rPr>
                <w:lang w:eastAsia="en-NZ"/>
              </w:rPr>
              <w:t>1.0</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69" w14:textId="77777777" w:rsidR="003741ED" w:rsidRPr="00DF7C22" w:rsidRDefault="003741ED" w:rsidP="00850A0F">
            <w:pPr>
              <w:pStyle w:val="TableText"/>
              <w:tabs>
                <w:tab w:val="decimal" w:pos="510"/>
              </w:tabs>
              <w:rPr>
                <w:lang w:eastAsia="en-NZ"/>
              </w:rPr>
            </w:pPr>
            <w:r w:rsidRPr="00DF7C22">
              <w:rPr>
                <w:lang w:eastAsia="en-NZ"/>
              </w:rPr>
              <w:t>50</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F6A" w14:textId="77777777" w:rsidR="003741ED" w:rsidRPr="00DF7C22" w:rsidRDefault="003741ED" w:rsidP="00850A0F">
            <w:pPr>
              <w:pStyle w:val="TableText"/>
              <w:tabs>
                <w:tab w:val="decimal" w:pos="369"/>
              </w:tabs>
              <w:rPr>
                <w:lang w:eastAsia="en-NZ"/>
              </w:rPr>
            </w:pPr>
            <w:r w:rsidRPr="00DF7C22">
              <w:rPr>
                <w:lang w:eastAsia="en-NZ"/>
              </w:rPr>
              <w:t>1.1</w:t>
            </w:r>
          </w:p>
        </w:tc>
      </w:tr>
      <w:tr w:rsidR="00850A0F" w:rsidRPr="00DF7C22" w14:paraId="041E2F81"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6C" w14:textId="77777777" w:rsidR="003741ED" w:rsidRPr="00DF7C22" w:rsidRDefault="003741ED" w:rsidP="00397776">
            <w:pPr>
              <w:pStyle w:val="TableText"/>
              <w:rPr>
                <w:lang w:eastAsia="en-NZ"/>
              </w:rPr>
            </w:pPr>
            <w:r w:rsidRPr="00DF7C22">
              <w:rPr>
                <w:lang w:eastAsia="en-NZ"/>
              </w:rPr>
              <w:t>VTEC/STEC infection</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6D" w14:textId="77777777" w:rsidR="003741ED" w:rsidRPr="00DF7C22" w:rsidRDefault="003741ED" w:rsidP="00850A0F">
            <w:pPr>
              <w:pStyle w:val="TableText"/>
              <w:tabs>
                <w:tab w:val="decimal" w:pos="510"/>
              </w:tabs>
              <w:rPr>
                <w:lang w:eastAsia="en-NZ"/>
              </w:rPr>
            </w:pPr>
            <w:r w:rsidRPr="00DF7C22">
              <w:rPr>
                <w:lang w:eastAsia="en-NZ"/>
              </w:rPr>
              <w:t>89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6E" w14:textId="77777777" w:rsidR="003741ED" w:rsidRPr="00DF7C22" w:rsidRDefault="003741ED" w:rsidP="00850A0F">
            <w:pPr>
              <w:pStyle w:val="TableText"/>
              <w:tabs>
                <w:tab w:val="decimal" w:pos="369"/>
              </w:tabs>
              <w:rPr>
                <w:lang w:eastAsia="en-NZ"/>
              </w:rPr>
            </w:pPr>
            <w:r w:rsidRPr="00DF7C22">
              <w:rPr>
                <w:lang w:eastAsia="en-NZ"/>
              </w:rPr>
              <w:t>2.2</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6F" w14:textId="77777777" w:rsidR="003741ED" w:rsidRPr="00DF7C22" w:rsidRDefault="003741ED" w:rsidP="00850A0F">
            <w:pPr>
              <w:pStyle w:val="TableText"/>
              <w:tabs>
                <w:tab w:val="decimal" w:pos="510"/>
              </w:tabs>
              <w:rPr>
                <w:lang w:eastAsia="en-NZ"/>
              </w:rPr>
            </w:pPr>
            <w:r w:rsidRPr="00DF7C22">
              <w:rPr>
                <w:lang w:eastAsia="en-NZ"/>
              </w:rPr>
              <w:t>92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70" w14:textId="77777777" w:rsidR="003741ED" w:rsidRPr="00DF7C22" w:rsidRDefault="003741ED" w:rsidP="00850A0F">
            <w:pPr>
              <w:pStyle w:val="TableText"/>
              <w:tabs>
                <w:tab w:val="decimal" w:pos="369"/>
              </w:tabs>
              <w:rPr>
                <w:lang w:eastAsia="en-NZ"/>
              </w:rPr>
            </w:pPr>
            <w:r w:rsidRPr="00DF7C22">
              <w:rPr>
                <w:lang w:eastAsia="en-NZ"/>
              </w:rPr>
              <w:t>2.2</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71" w14:textId="77777777" w:rsidR="003741ED" w:rsidRPr="00DF7C22" w:rsidRDefault="003741ED" w:rsidP="00850A0F">
            <w:pPr>
              <w:pStyle w:val="TableText"/>
              <w:tabs>
                <w:tab w:val="decimal" w:pos="510"/>
              </w:tabs>
              <w:rPr>
                <w:lang w:eastAsia="en-NZ"/>
              </w:rPr>
            </w:pPr>
            <w:r w:rsidRPr="00DF7C22">
              <w:rPr>
                <w:lang w:eastAsia="en-NZ"/>
              </w:rPr>
              <w:t>87</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72" w14:textId="77777777" w:rsidR="003741ED" w:rsidRPr="00DF7C22" w:rsidRDefault="003741ED" w:rsidP="00850A0F">
            <w:pPr>
              <w:pStyle w:val="TableText"/>
              <w:tabs>
                <w:tab w:val="decimal" w:pos="369"/>
              </w:tabs>
              <w:rPr>
                <w:lang w:eastAsia="en-NZ"/>
              </w:rPr>
            </w:pPr>
            <w:r w:rsidRPr="00DF7C22">
              <w:rPr>
                <w:lang w:eastAsia="en-NZ"/>
              </w:rPr>
              <w:t>2.1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73" w14:textId="77777777" w:rsidR="003741ED" w:rsidRPr="00DF7C22" w:rsidRDefault="003741ED" w:rsidP="00850A0F">
            <w:pPr>
              <w:pStyle w:val="TableText"/>
              <w:tabs>
                <w:tab w:val="decimal" w:pos="510"/>
              </w:tabs>
              <w:rPr>
                <w:lang w:eastAsia="en-NZ"/>
              </w:rPr>
            </w:pPr>
            <w:r w:rsidRPr="00DF7C22">
              <w:rPr>
                <w:lang w:eastAsia="en-NZ"/>
              </w:rPr>
              <w:t>100</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74" w14:textId="77777777" w:rsidR="003741ED" w:rsidRPr="00DF7C22" w:rsidRDefault="003741ED" w:rsidP="00850A0F">
            <w:pPr>
              <w:pStyle w:val="TableText"/>
              <w:tabs>
                <w:tab w:val="decimal" w:pos="369"/>
              </w:tabs>
              <w:rPr>
                <w:lang w:eastAsia="en-NZ"/>
              </w:rPr>
            </w:pPr>
            <w:r w:rsidRPr="00DF7C22">
              <w:rPr>
                <w:lang w:eastAsia="en-NZ"/>
              </w:rPr>
              <w:t>2.4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75" w14:textId="77777777" w:rsidR="003741ED" w:rsidRPr="00DF7C22" w:rsidRDefault="003741ED" w:rsidP="00850A0F">
            <w:pPr>
              <w:pStyle w:val="TableText"/>
              <w:tabs>
                <w:tab w:val="decimal" w:pos="510"/>
              </w:tabs>
              <w:rPr>
                <w:lang w:eastAsia="en-NZ"/>
              </w:rPr>
            </w:pPr>
            <w:r w:rsidRPr="00DF7C22">
              <w:rPr>
                <w:lang w:eastAsia="en-NZ"/>
              </w:rPr>
              <w:t>124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76" w14:textId="77777777" w:rsidR="003741ED" w:rsidRPr="00DF7C22" w:rsidRDefault="003741ED" w:rsidP="00850A0F">
            <w:pPr>
              <w:pStyle w:val="TableText"/>
              <w:tabs>
                <w:tab w:val="decimal" w:pos="369"/>
              </w:tabs>
              <w:rPr>
                <w:lang w:eastAsia="en-NZ"/>
              </w:rPr>
            </w:pPr>
            <w:r w:rsidRPr="00DF7C22">
              <w:rPr>
                <w:lang w:eastAsia="en-NZ"/>
              </w:rPr>
              <w:t>2.9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77" w14:textId="77777777" w:rsidR="003741ED" w:rsidRPr="00DF7C22" w:rsidRDefault="003741ED" w:rsidP="00850A0F">
            <w:pPr>
              <w:pStyle w:val="TableText"/>
              <w:tabs>
                <w:tab w:val="decimal" w:pos="510"/>
              </w:tabs>
              <w:rPr>
                <w:lang w:eastAsia="en-NZ"/>
              </w:rPr>
            </w:pPr>
            <w:r w:rsidRPr="00DF7C22">
              <w:rPr>
                <w:lang w:eastAsia="en-NZ"/>
              </w:rPr>
              <w:t>143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78" w14:textId="77777777" w:rsidR="003741ED" w:rsidRPr="00DF7C22" w:rsidRDefault="003741ED" w:rsidP="00850A0F">
            <w:pPr>
              <w:pStyle w:val="TableText"/>
              <w:tabs>
                <w:tab w:val="decimal" w:pos="369"/>
              </w:tabs>
              <w:rPr>
                <w:lang w:eastAsia="en-NZ"/>
              </w:rPr>
            </w:pPr>
            <w:r w:rsidRPr="00DF7C22">
              <w:rPr>
                <w:lang w:eastAsia="en-NZ"/>
              </w:rPr>
              <w:t>3.3</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79" w14:textId="77777777" w:rsidR="003741ED" w:rsidRPr="00DF7C22" w:rsidRDefault="003741ED" w:rsidP="00850A0F">
            <w:pPr>
              <w:pStyle w:val="TableText"/>
              <w:tabs>
                <w:tab w:val="decimal" w:pos="510"/>
              </w:tabs>
              <w:rPr>
                <w:lang w:eastAsia="en-NZ"/>
              </w:rPr>
            </w:pPr>
            <w:r w:rsidRPr="00DF7C22">
              <w:rPr>
                <w:lang w:eastAsia="en-NZ"/>
              </w:rPr>
              <w:t>138</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7A" w14:textId="77777777" w:rsidR="003741ED" w:rsidRPr="00DF7C22" w:rsidRDefault="003741ED" w:rsidP="00850A0F">
            <w:pPr>
              <w:pStyle w:val="TableText"/>
              <w:tabs>
                <w:tab w:val="decimal" w:pos="369"/>
              </w:tabs>
              <w:rPr>
                <w:lang w:eastAsia="en-NZ"/>
              </w:rPr>
            </w:pPr>
            <w:r w:rsidRPr="00DF7C22">
              <w:rPr>
                <w:lang w:eastAsia="en-NZ"/>
              </w:rPr>
              <w:t>3.2</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7B" w14:textId="77777777" w:rsidR="003741ED" w:rsidRPr="00DF7C22" w:rsidRDefault="003741ED" w:rsidP="00850A0F">
            <w:pPr>
              <w:pStyle w:val="TableText"/>
              <w:tabs>
                <w:tab w:val="decimal" w:pos="510"/>
              </w:tabs>
              <w:rPr>
                <w:lang w:eastAsia="en-NZ"/>
              </w:rPr>
            </w:pPr>
            <w:r w:rsidRPr="00DF7C22">
              <w:rPr>
                <w:lang w:eastAsia="en-NZ"/>
              </w:rPr>
              <w:t>153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7C" w14:textId="77777777" w:rsidR="003741ED" w:rsidRPr="00DF7C22" w:rsidRDefault="003741ED" w:rsidP="00850A0F">
            <w:pPr>
              <w:pStyle w:val="TableText"/>
              <w:tabs>
                <w:tab w:val="decimal" w:pos="369"/>
              </w:tabs>
              <w:rPr>
                <w:lang w:eastAsia="en-NZ"/>
              </w:rPr>
            </w:pPr>
            <w:r w:rsidRPr="00DF7C22">
              <w:rPr>
                <w:lang w:eastAsia="en-NZ"/>
              </w:rPr>
              <w:t>3.5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7D" w14:textId="77777777" w:rsidR="003741ED" w:rsidRPr="00DF7C22" w:rsidRDefault="003741ED" w:rsidP="00850A0F">
            <w:pPr>
              <w:pStyle w:val="TableText"/>
              <w:tabs>
                <w:tab w:val="decimal" w:pos="510"/>
              </w:tabs>
              <w:rPr>
                <w:lang w:eastAsia="en-NZ"/>
              </w:rPr>
            </w:pPr>
            <w:r w:rsidRPr="00DF7C22">
              <w:rPr>
                <w:lang w:eastAsia="en-NZ"/>
              </w:rPr>
              <w:t>147</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7E" w14:textId="77777777" w:rsidR="003741ED" w:rsidRPr="00DF7C22" w:rsidRDefault="003741ED" w:rsidP="00850A0F">
            <w:pPr>
              <w:pStyle w:val="TableText"/>
              <w:tabs>
                <w:tab w:val="decimal" w:pos="369"/>
              </w:tabs>
              <w:rPr>
                <w:lang w:eastAsia="en-NZ"/>
              </w:rPr>
            </w:pPr>
            <w:r w:rsidRPr="00DF7C22">
              <w:rPr>
                <w:lang w:eastAsia="en-NZ"/>
              </w:rPr>
              <w:t>3.3</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7F" w14:textId="77777777" w:rsidR="003741ED" w:rsidRPr="00DF7C22" w:rsidRDefault="003741ED" w:rsidP="00850A0F">
            <w:pPr>
              <w:pStyle w:val="TableText"/>
              <w:tabs>
                <w:tab w:val="decimal" w:pos="510"/>
              </w:tabs>
              <w:rPr>
                <w:lang w:eastAsia="en-NZ"/>
              </w:rPr>
            </w:pPr>
            <w:r w:rsidRPr="00DF7C22">
              <w:rPr>
                <w:lang w:eastAsia="en-NZ"/>
              </w:rPr>
              <w:t>205</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F80" w14:textId="77777777" w:rsidR="003741ED" w:rsidRPr="00DF7C22" w:rsidRDefault="003741ED" w:rsidP="00850A0F">
            <w:pPr>
              <w:pStyle w:val="TableText"/>
              <w:tabs>
                <w:tab w:val="decimal" w:pos="369"/>
              </w:tabs>
              <w:rPr>
                <w:lang w:eastAsia="en-NZ"/>
              </w:rPr>
            </w:pPr>
            <w:r w:rsidRPr="00DF7C22">
              <w:rPr>
                <w:lang w:eastAsia="en-NZ"/>
              </w:rPr>
              <w:t>4.6</w:t>
            </w:r>
          </w:p>
        </w:tc>
      </w:tr>
      <w:tr w:rsidR="00850A0F" w:rsidRPr="00DF7C22" w14:paraId="041E2F97"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82" w14:textId="77777777" w:rsidR="003741ED" w:rsidRPr="00DF7C22" w:rsidRDefault="003741ED" w:rsidP="00397776">
            <w:pPr>
              <w:pStyle w:val="TableText"/>
              <w:rPr>
                <w:lang w:eastAsia="en-NZ"/>
              </w:rPr>
            </w:pPr>
            <w:r w:rsidRPr="00DF7C22">
              <w:rPr>
                <w:lang w:eastAsia="en-NZ"/>
              </w:rPr>
              <w:t>Yersiniosis</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83" w14:textId="77777777" w:rsidR="003741ED" w:rsidRPr="00DF7C22" w:rsidRDefault="003741ED" w:rsidP="00850A0F">
            <w:pPr>
              <w:pStyle w:val="TableText"/>
              <w:tabs>
                <w:tab w:val="decimal" w:pos="510"/>
              </w:tabs>
              <w:rPr>
                <w:lang w:eastAsia="en-NZ"/>
              </w:rPr>
            </w:pPr>
            <w:r w:rsidRPr="00DF7C22">
              <w:rPr>
                <w:lang w:eastAsia="en-NZ"/>
              </w:rPr>
              <w:t>407</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84" w14:textId="77777777" w:rsidR="003741ED" w:rsidRPr="00DF7C22" w:rsidRDefault="003741ED" w:rsidP="00850A0F">
            <w:pPr>
              <w:pStyle w:val="TableText"/>
              <w:tabs>
                <w:tab w:val="decimal" w:pos="369"/>
              </w:tabs>
              <w:rPr>
                <w:lang w:eastAsia="en-NZ"/>
              </w:rPr>
            </w:pPr>
            <w:r w:rsidRPr="00DF7C22">
              <w:rPr>
                <w:lang w:eastAsia="en-NZ"/>
              </w:rPr>
              <w:t>10.0</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85" w14:textId="77777777" w:rsidR="003741ED" w:rsidRPr="00DF7C22" w:rsidRDefault="003741ED" w:rsidP="00850A0F">
            <w:pPr>
              <w:pStyle w:val="TableText"/>
              <w:tabs>
                <w:tab w:val="decimal" w:pos="510"/>
              </w:tabs>
              <w:rPr>
                <w:lang w:eastAsia="en-NZ"/>
              </w:rPr>
            </w:pPr>
            <w:r w:rsidRPr="00DF7C22">
              <w:rPr>
                <w:lang w:eastAsia="en-NZ"/>
              </w:rPr>
              <w:t>383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86" w14:textId="77777777" w:rsidR="003741ED" w:rsidRPr="00DF7C22" w:rsidRDefault="003741ED" w:rsidP="00850A0F">
            <w:pPr>
              <w:pStyle w:val="TableText"/>
              <w:tabs>
                <w:tab w:val="decimal" w:pos="369"/>
              </w:tabs>
              <w:rPr>
                <w:lang w:eastAsia="en-NZ"/>
              </w:rPr>
            </w:pPr>
            <w:r w:rsidRPr="00DF7C22">
              <w:rPr>
                <w:lang w:eastAsia="en-NZ"/>
              </w:rPr>
              <w:t>9.3</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87" w14:textId="77777777" w:rsidR="003741ED" w:rsidRPr="00DF7C22" w:rsidRDefault="003741ED" w:rsidP="00850A0F">
            <w:pPr>
              <w:pStyle w:val="TableText"/>
              <w:tabs>
                <w:tab w:val="decimal" w:pos="510"/>
              </w:tabs>
              <w:rPr>
                <w:lang w:eastAsia="en-NZ"/>
              </w:rPr>
            </w:pPr>
            <w:r w:rsidRPr="00DF7C22">
              <w:rPr>
                <w:lang w:eastAsia="en-NZ"/>
              </w:rPr>
              <w:t>453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88" w14:textId="77777777" w:rsidR="003741ED" w:rsidRPr="00DF7C22" w:rsidRDefault="003741ED" w:rsidP="00850A0F">
            <w:pPr>
              <w:pStyle w:val="TableText"/>
              <w:tabs>
                <w:tab w:val="decimal" w:pos="369"/>
              </w:tabs>
              <w:rPr>
                <w:lang w:eastAsia="en-NZ"/>
              </w:rPr>
            </w:pPr>
            <w:r w:rsidRPr="00DF7C22">
              <w:rPr>
                <w:lang w:eastAsia="en-NZ"/>
              </w:rPr>
              <w:t>10.8</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89" w14:textId="77777777" w:rsidR="003741ED" w:rsidRPr="00DF7C22" w:rsidRDefault="003741ED" w:rsidP="00850A0F">
            <w:pPr>
              <w:pStyle w:val="TableText"/>
              <w:tabs>
                <w:tab w:val="decimal" w:pos="510"/>
              </w:tabs>
              <w:rPr>
                <w:lang w:eastAsia="en-NZ"/>
              </w:rPr>
            </w:pPr>
            <w:r w:rsidRPr="00DF7C22">
              <w:rPr>
                <w:lang w:eastAsia="en-NZ"/>
              </w:rPr>
              <w:t>502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8A" w14:textId="77777777" w:rsidR="003741ED" w:rsidRPr="00DF7C22" w:rsidRDefault="003741ED" w:rsidP="00850A0F">
            <w:pPr>
              <w:pStyle w:val="TableText"/>
              <w:tabs>
                <w:tab w:val="decimal" w:pos="369"/>
              </w:tabs>
              <w:rPr>
                <w:lang w:eastAsia="en-NZ"/>
              </w:rPr>
            </w:pPr>
            <w:r w:rsidRPr="00DF7C22">
              <w:rPr>
                <w:lang w:eastAsia="en-NZ"/>
              </w:rPr>
              <w:t>11.9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8B" w14:textId="77777777" w:rsidR="003741ED" w:rsidRPr="00DF7C22" w:rsidRDefault="003741ED" w:rsidP="00850A0F">
            <w:pPr>
              <w:pStyle w:val="TableText"/>
              <w:tabs>
                <w:tab w:val="decimal" w:pos="510"/>
              </w:tabs>
              <w:rPr>
                <w:lang w:eastAsia="en-NZ"/>
              </w:rPr>
            </w:pPr>
            <w:r w:rsidRPr="00DF7C22">
              <w:rPr>
                <w:lang w:eastAsia="en-NZ"/>
              </w:rPr>
              <w:t>508</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8C" w14:textId="77777777" w:rsidR="003741ED" w:rsidRPr="00DF7C22" w:rsidRDefault="003741ED" w:rsidP="00850A0F">
            <w:pPr>
              <w:pStyle w:val="TableText"/>
              <w:tabs>
                <w:tab w:val="decimal" w:pos="369"/>
              </w:tabs>
              <w:rPr>
                <w:lang w:eastAsia="en-NZ"/>
              </w:rPr>
            </w:pPr>
            <w:r w:rsidRPr="00DF7C22">
              <w:rPr>
                <w:lang w:eastAsia="en-NZ"/>
              </w:rPr>
              <w:t>11.9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8D" w14:textId="77777777" w:rsidR="003741ED" w:rsidRPr="00DF7C22" w:rsidRDefault="003741ED" w:rsidP="00850A0F">
            <w:pPr>
              <w:pStyle w:val="TableText"/>
              <w:tabs>
                <w:tab w:val="decimal" w:pos="510"/>
              </w:tabs>
              <w:rPr>
                <w:lang w:eastAsia="en-NZ"/>
              </w:rPr>
            </w:pPr>
            <w:r w:rsidRPr="00DF7C22">
              <w:rPr>
                <w:lang w:eastAsia="en-NZ"/>
              </w:rPr>
              <w:t>430</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8E" w14:textId="77777777" w:rsidR="003741ED" w:rsidRPr="00DF7C22" w:rsidRDefault="003741ED" w:rsidP="00850A0F">
            <w:pPr>
              <w:pStyle w:val="TableText"/>
              <w:tabs>
                <w:tab w:val="decimal" w:pos="369"/>
              </w:tabs>
              <w:rPr>
                <w:lang w:eastAsia="en-NZ"/>
              </w:rPr>
            </w:pPr>
            <w:r w:rsidRPr="00DF7C22">
              <w:rPr>
                <w:lang w:eastAsia="en-NZ"/>
              </w:rPr>
              <w:t>10.0</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8F" w14:textId="77777777" w:rsidR="003741ED" w:rsidRPr="00DF7C22" w:rsidRDefault="003741ED" w:rsidP="00850A0F">
            <w:pPr>
              <w:pStyle w:val="TableText"/>
              <w:tabs>
                <w:tab w:val="decimal" w:pos="510"/>
              </w:tabs>
              <w:rPr>
                <w:lang w:eastAsia="en-NZ"/>
              </w:rPr>
            </w:pPr>
            <w:r w:rsidRPr="00DF7C22">
              <w:rPr>
                <w:lang w:eastAsia="en-NZ"/>
              </w:rPr>
              <w:t>406</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90" w14:textId="77777777" w:rsidR="003741ED" w:rsidRPr="00DF7C22" w:rsidRDefault="003741ED" w:rsidP="00850A0F">
            <w:pPr>
              <w:pStyle w:val="TableText"/>
              <w:tabs>
                <w:tab w:val="decimal" w:pos="369"/>
              </w:tabs>
              <w:rPr>
                <w:lang w:eastAsia="en-NZ"/>
              </w:rPr>
            </w:pPr>
            <w:r w:rsidRPr="00DF7C22">
              <w:rPr>
                <w:lang w:eastAsia="en-NZ"/>
              </w:rPr>
              <w:t>9.3</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91" w14:textId="77777777" w:rsidR="003741ED" w:rsidRPr="00DF7C22" w:rsidRDefault="003741ED" w:rsidP="00850A0F">
            <w:pPr>
              <w:pStyle w:val="TableText"/>
              <w:tabs>
                <w:tab w:val="decimal" w:pos="510"/>
              </w:tabs>
              <w:rPr>
                <w:lang w:eastAsia="en-NZ"/>
              </w:rPr>
            </w:pPr>
            <w:r w:rsidRPr="00DF7C22">
              <w:rPr>
                <w:lang w:eastAsia="en-NZ"/>
              </w:rPr>
              <w:t>513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92" w14:textId="77777777" w:rsidR="003741ED" w:rsidRPr="00DF7C22" w:rsidRDefault="003741ED" w:rsidP="00850A0F">
            <w:pPr>
              <w:pStyle w:val="TableText"/>
              <w:tabs>
                <w:tab w:val="decimal" w:pos="369"/>
              </w:tabs>
              <w:rPr>
                <w:lang w:eastAsia="en-NZ"/>
              </w:rPr>
            </w:pPr>
            <w:r w:rsidRPr="00DF7C22">
              <w:rPr>
                <w:lang w:eastAsia="en-NZ"/>
              </w:rPr>
              <w:t>11.6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93" w14:textId="77777777" w:rsidR="003741ED" w:rsidRPr="00DF7C22" w:rsidRDefault="003741ED" w:rsidP="00850A0F">
            <w:pPr>
              <w:pStyle w:val="TableText"/>
              <w:tabs>
                <w:tab w:val="decimal" w:pos="510"/>
              </w:tabs>
              <w:rPr>
                <w:lang w:eastAsia="en-NZ"/>
              </w:rPr>
            </w:pPr>
            <w:r w:rsidRPr="00DF7C22">
              <w:rPr>
                <w:lang w:eastAsia="en-NZ"/>
              </w:rPr>
              <w:t>514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94" w14:textId="77777777" w:rsidR="003741ED" w:rsidRPr="00DF7C22" w:rsidRDefault="003741ED" w:rsidP="00850A0F">
            <w:pPr>
              <w:pStyle w:val="TableText"/>
              <w:tabs>
                <w:tab w:val="decimal" w:pos="369"/>
              </w:tabs>
              <w:rPr>
                <w:lang w:eastAsia="en-NZ"/>
              </w:rPr>
            </w:pPr>
            <w:r w:rsidRPr="00DF7C22">
              <w:rPr>
                <w:lang w:eastAsia="en-NZ"/>
              </w:rPr>
              <w:t>11.6</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95" w14:textId="77777777" w:rsidR="003741ED" w:rsidRPr="00DF7C22" w:rsidRDefault="003741ED" w:rsidP="00850A0F">
            <w:pPr>
              <w:pStyle w:val="TableText"/>
              <w:tabs>
                <w:tab w:val="decimal" w:pos="510"/>
              </w:tabs>
              <w:rPr>
                <w:lang w:eastAsia="en-NZ"/>
              </w:rPr>
            </w:pPr>
            <w:r w:rsidRPr="00DF7C22">
              <w:rPr>
                <w:lang w:eastAsia="en-NZ"/>
              </w:rPr>
              <w:t>485</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F96" w14:textId="77777777" w:rsidR="003741ED" w:rsidRPr="00DF7C22" w:rsidRDefault="003741ED" w:rsidP="00850A0F">
            <w:pPr>
              <w:pStyle w:val="TableText"/>
              <w:tabs>
                <w:tab w:val="decimal" w:pos="369"/>
              </w:tabs>
              <w:rPr>
                <w:lang w:eastAsia="en-NZ"/>
              </w:rPr>
            </w:pPr>
            <w:r w:rsidRPr="00DF7C22">
              <w:rPr>
                <w:lang w:eastAsia="en-NZ"/>
              </w:rPr>
              <w:t>10.8</w:t>
            </w:r>
          </w:p>
        </w:tc>
      </w:tr>
      <w:tr w:rsidR="00850A0F" w:rsidRPr="00397776" w14:paraId="041E2FAD" w14:textId="77777777" w:rsidTr="00850A0F">
        <w:trPr>
          <w:cantSplit/>
        </w:trPr>
        <w:tc>
          <w:tcPr>
            <w:tcW w:w="156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98" w14:textId="77777777" w:rsidR="003741ED" w:rsidRPr="00397776" w:rsidRDefault="003741ED" w:rsidP="00397776">
            <w:pPr>
              <w:pStyle w:val="TableText"/>
              <w:rPr>
                <w:b/>
                <w:lang w:eastAsia="en-NZ"/>
              </w:rPr>
            </w:pPr>
            <w:r w:rsidRPr="00397776">
              <w:rPr>
                <w:b/>
                <w:lang w:eastAsia="en-NZ"/>
              </w:rPr>
              <w:t>Total</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99" w14:textId="77777777" w:rsidR="003741ED" w:rsidRPr="00397776" w:rsidRDefault="003741ED" w:rsidP="00850A0F">
            <w:pPr>
              <w:pStyle w:val="TableText"/>
              <w:tabs>
                <w:tab w:val="decimal" w:pos="510"/>
              </w:tabs>
              <w:rPr>
                <w:b/>
                <w:lang w:eastAsia="en-NZ"/>
              </w:rPr>
            </w:pPr>
            <w:r w:rsidRPr="00397776">
              <w:rPr>
                <w:b/>
                <w:lang w:eastAsia="en-NZ"/>
              </w:rPr>
              <w:t>17,694</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9A" w14:textId="77777777" w:rsidR="003741ED" w:rsidRPr="00397776" w:rsidRDefault="003741ED" w:rsidP="00850A0F">
            <w:pPr>
              <w:pStyle w:val="TableText"/>
              <w:tabs>
                <w:tab w:val="decimal" w:pos="369"/>
              </w:tabs>
              <w:rPr>
                <w:b/>
                <w:lang w:eastAsia="en-NZ"/>
              </w:rPr>
            </w:pPr>
            <w:r w:rsidRPr="00397776">
              <w:rPr>
                <w:b/>
                <w:lang w:eastAsia="en-NZ"/>
              </w:rPr>
              <w:t>432.9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9B" w14:textId="77777777" w:rsidR="003741ED" w:rsidRPr="00397776" w:rsidRDefault="003741ED" w:rsidP="00850A0F">
            <w:pPr>
              <w:pStyle w:val="TableText"/>
              <w:tabs>
                <w:tab w:val="decimal" w:pos="510"/>
              </w:tabs>
              <w:rPr>
                <w:b/>
                <w:lang w:eastAsia="en-NZ"/>
              </w:rPr>
            </w:pPr>
            <w:r w:rsidRPr="00397776">
              <w:rPr>
                <w:b/>
                <w:lang w:eastAsia="en-NZ"/>
              </w:rPr>
              <w:t>18,831</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9C" w14:textId="77777777" w:rsidR="003741ED" w:rsidRPr="00397776" w:rsidRDefault="003741ED" w:rsidP="00850A0F">
            <w:pPr>
              <w:pStyle w:val="TableText"/>
              <w:tabs>
                <w:tab w:val="decimal" w:pos="369"/>
              </w:tabs>
              <w:rPr>
                <w:b/>
                <w:lang w:eastAsia="en-NZ"/>
              </w:rPr>
            </w:pPr>
            <w:r w:rsidRPr="00397776">
              <w:rPr>
                <w:b/>
                <w:lang w:eastAsia="en-NZ"/>
              </w:rPr>
              <w:t>455.5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9D" w14:textId="77777777" w:rsidR="003741ED" w:rsidRPr="00397776" w:rsidRDefault="003741ED" w:rsidP="00850A0F">
            <w:pPr>
              <w:pStyle w:val="TableText"/>
              <w:tabs>
                <w:tab w:val="decimal" w:pos="510"/>
              </w:tabs>
              <w:rPr>
                <w:b/>
                <w:lang w:eastAsia="en-NZ"/>
              </w:rPr>
            </w:pPr>
            <w:r w:rsidRPr="00397776">
              <w:rPr>
                <w:b/>
                <w:lang w:eastAsia="en-NZ"/>
              </w:rPr>
              <w:t>21,066</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9E" w14:textId="77777777" w:rsidR="003741ED" w:rsidRPr="00397776" w:rsidRDefault="003741ED" w:rsidP="00850A0F">
            <w:pPr>
              <w:pStyle w:val="TableText"/>
              <w:tabs>
                <w:tab w:val="decimal" w:pos="369"/>
              </w:tabs>
              <w:rPr>
                <w:b/>
                <w:lang w:eastAsia="en-NZ"/>
              </w:rPr>
            </w:pPr>
            <w:r w:rsidRPr="00397776">
              <w:rPr>
                <w:b/>
                <w:lang w:eastAsia="en-NZ"/>
              </w:rPr>
              <w:t>503.4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9F" w14:textId="77777777" w:rsidR="003741ED" w:rsidRPr="00397776" w:rsidRDefault="003741ED" w:rsidP="00850A0F">
            <w:pPr>
              <w:pStyle w:val="TableText"/>
              <w:tabs>
                <w:tab w:val="decimal" w:pos="510"/>
              </w:tabs>
              <w:rPr>
                <w:b/>
                <w:lang w:eastAsia="en-NZ"/>
              </w:rPr>
            </w:pPr>
            <w:r w:rsidRPr="00397776">
              <w:rPr>
                <w:b/>
                <w:lang w:eastAsia="en-NZ"/>
              </w:rPr>
              <w:t>17,979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A0" w14:textId="77777777" w:rsidR="003741ED" w:rsidRPr="00397776" w:rsidRDefault="003741ED" w:rsidP="00850A0F">
            <w:pPr>
              <w:pStyle w:val="TableText"/>
              <w:tabs>
                <w:tab w:val="decimal" w:pos="369"/>
              </w:tabs>
              <w:rPr>
                <w:b/>
                <w:lang w:eastAsia="en-NZ"/>
              </w:rPr>
            </w:pPr>
            <w:r w:rsidRPr="00397776">
              <w:rPr>
                <w:b/>
                <w:lang w:eastAsia="en-NZ"/>
              </w:rPr>
              <w:t>425.2</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A1" w14:textId="77777777" w:rsidR="003741ED" w:rsidRPr="00397776" w:rsidRDefault="003741ED" w:rsidP="00850A0F">
            <w:pPr>
              <w:pStyle w:val="TableText"/>
              <w:tabs>
                <w:tab w:val="decimal" w:pos="510"/>
              </w:tabs>
              <w:rPr>
                <w:b/>
                <w:lang w:eastAsia="en-NZ"/>
              </w:rPr>
            </w:pPr>
            <w:r w:rsidRPr="00397776">
              <w:rPr>
                <w:b/>
                <w:lang w:eastAsia="en-NZ"/>
              </w:rPr>
              <w:t>12,223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A2" w14:textId="77777777" w:rsidR="003741ED" w:rsidRPr="00397776" w:rsidRDefault="003741ED" w:rsidP="00850A0F">
            <w:pPr>
              <w:pStyle w:val="TableText"/>
              <w:tabs>
                <w:tab w:val="decimal" w:pos="369"/>
              </w:tabs>
              <w:rPr>
                <w:b/>
                <w:lang w:eastAsia="en-NZ"/>
              </w:rPr>
            </w:pPr>
            <w:r w:rsidRPr="00397776">
              <w:rPr>
                <w:b/>
                <w:lang w:eastAsia="en-NZ"/>
              </w:rPr>
              <w:t>286.3</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A3" w14:textId="77777777" w:rsidR="003741ED" w:rsidRPr="00397776" w:rsidRDefault="003741ED" w:rsidP="00850A0F">
            <w:pPr>
              <w:pStyle w:val="TableText"/>
              <w:tabs>
                <w:tab w:val="decimal" w:pos="510"/>
              </w:tabs>
              <w:rPr>
                <w:b/>
                <w:lang w:eastAsia="en-NZ"/>
              </w:rPr>
            </w:pPr>
            <w:r w:rsidRPr="00397776">
              <w:rPr>
                <w:b/>
                <w:lang w:eastAsia="en-NZ"/>
              </w:rPr>
              <w:t>12,449</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A4" w14:textId="77777777" w:rsidR="003741ED" w:rsidRPr="00397776" w:rsidRDefault="003741ED" w:rsidP="00850A0F">
            <w:pPr>
              <w:pStyle w:val="TableText"/>
              <w:tabs>
                <w:tab w:val="decimal" w:pos="369"/>
              </w:tabs>
              <w:rPr>
                <w:b/>
                <w:lang w:eastAsia="en-NZ"/>
              </w:rPr>
            </w:pPr>
            <w:r w:rsidRPr="00397776">
              <w:rPr>
                <w:b/>
                <w:lang w:eastAsia="en-NZ"/>
              </w:rPr>
              <w:t>288.5</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A5" w14:textId="77777777" w:rsidR="003741ED" w:rsidRPr="00397776" w:rsidRDefault="003741ED" w:rsidP="00850A0F">
            <w:pPr>
              <w:pStyle w:val="TableText"/>
              <w:tabs>
                <w:tab w:val="decimal" w:pos="510"/>
              </w:tabs>
              <w:rPr>
                <w:b/>
                <w:lang w:eastAsia="en-NZ"/>
              </w:rPr>
            </w:pPr>
            <w:r w:rsidRPr="00397776">
              <w:rPr>
                <w:b/>
                <w:lang w:eastAsia="en-NZ"/>
              </w:rPr>
              <w:t>12,933</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A6" w14:textId="77777777" w:rsidR="003741ED" w:rsidRPr="00397776" w:rsidRDefault="003741ED" w:rsidP="00850A0F">
            <w:pPr>
              <w:pStyle w:val="TableText"/>
              <w:tabs>
                <w:tab w:val="decimal" w:pos="369"/>
              </w:tabs>
              <w:rPr>
                <w:b/>
                <w:lang w:eastAsia="en-NZ"/>
              </w:rPr>
            </w:pPr>
            <w:r w:rsidRPr="00397776">
              <w:rPr>
                <w:b/>
                <w:lang w:eastAsia="en-NZ"/>
              </w:rPr>
              <w:t>296.1</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A7" w14:textId="77777777" w:rsidR="003741ED" w:rsidRPr="00397776" w:rsidRDefault="003741ED" w:rsidP="00850A0F">
            <w:pPr>
              <w:pStyle w:val="TableText"/>
              <w:tabs>
                <w:tab w:val="decimal" w:pos="510"/>
              </w:tabs>
              <w:rPr>
                <w:b/>
                <w:lang w:eastAsia="en-NZ"/>
              </w:rPr>
            </w:pPr>
            <w:r w:rsidRPr="00397776">
              <w:rPr>
                <w:b/>
                <w:lang w:eastAsia="en-NZ"/>
              </w:rPr>
              <w:t>11,932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A8" w14:textId="77777777" w:rsidR="003741ED" w:rsidRPr="00397776" w:rsidRDefault="003741ED" w:rsidP="00850A0F">
            <w:pPr>
              <w:pStyle w:val="TableText"/>
              <w:tabs>
                <w:tab w:val="decimal" w:pos="369"/>
              </w:tabs>
              <w:rPr>
                <w:b/>
                <w:lang w:eastAsia="en-NZ"/>
              </w:rPr>
            </w:pPr>
            <w:r w:rsidRPr="00397776">
              <w:rPr>
                <w:b/>
                <w:lang w:eastAsia="en-NZ"/>
              </w:rPr>
              <w:t>270.9</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A9" w14:textId="77777777" w:rsidR="003741ED" w:rsidRPr="00397776" w:rsidRDefault="003741ED" w:rsidP="00850A0F">
            <w:pPr>
              <w:pStyle w:val="TableText"/>
              <w:tabs>
                <w:tab w:val="decimal" w:pos="510"/>
              </w:tabs>
              <w:rPr>
                <w:b/>
                <w:lang w:eastAsia="en-NZ"/>
              </w:rPr>
            </w:pPr>
            <w:r w:rsidRPr="00397776">
              <w:rPr>
                <w:b/>
                <w:lang w:eastAsia="en-NZ"/>
              </w:rPr>
              <w:t>12,652</w:t>
            </w:r>
          </w:p>
        </w:tc>
        <w:tc>
          <w:tcPr>
            <w:tcW w:w="652"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2FAA" w14:textId="77777777" w:rsidR="003741ED" w:rsidRPr="00397776" w:rsidRDefault="003741ED" w:rsidP="00850A0F">
            <w:pPr>
              <w:pStyle w:val="TableText"/>
              <w:tabs>
                <w:tab w:val="decimal" w:pos="369"/>
              </w:tabs>
              <w:rPr>
                <w:b/>
                <w:lang w:eastAsia="en-NZ"/>
              </w:rPr>
            </w:pPr>
            <w:r w:rsidRPr="00397776">
              <w:rPr>
                <w:b/>
                <w:lang w:eastAsia="en-NZ"/>
              </w:rPr>
              <w:t>285.4</w:t>
            </w:r>
          </w:p>
        </w:tc>
        <w:tc>
          <w:tcPr>
            <w:tcW w:w="652"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noWrap/>
            <w:hideMark/>
          </w:tcPr>
          <w:p w14:paraId="041E2FAB" w14:textId="77777777" w:rsidR="003741ED" w:rsidRPr="00397776" w:rsidRDefault="003741ED" w:rsidP="00850A0F">
            <w:pPr>
              <w:pStyle w:val="TableText"/>
              <w:tabs>
                <w:tab w:val="decimal" w:pos="510"/>
              </w:tabs>
              <w:rPr>
                <w:b/>
                <w:lang w:eastAsia="en-NZ"/>
              </w:rPr>
            </w:pPr>
            <w:r w:rsidRPr="00397776">
              <w:rPr>
                <w:b/>
                <w:lang w:eastAsia="en-NZ"/>
              </w:rPr>
              <w:t>12,819</w:t>
            </w:r>
          </w:p>
        </w:tc>
        <w:tc>
          <w:tcPr>
            <w:tcW w:w="653" w:type="dxa"/>
            <w:tcBorders>
              <w:top w:val="single" w:sz="4" w:space="0" w:color="A6A6A6" w:themeColor="background1" w:themeShade="A6"/>
              <w:bottom w:val="single" w:sz="4" w:space="0" w:color="A6A6A6" w:themeColor="background1" w:themeShade="A6"/>
            </w:tcBorders>
            <w:shd w:val="clear" w:color="auto" w:fill="auto"/>
            <w:noWrap/>
            <w:hideMark/>
          </w:tcPr>
          <w:p w14:paraId="041E2FAC" w14:textId="77777777" w:rsidR="003741ED" w:rsidRPr="00397776" w:rsidRDefault="003741ED" w:rsidP="00850A0F">
            <w:pPr>
              <w:pStyle w:val="TableText"/>
              <w:tabs>
                <w:tab w:val="decimal" w:pos="369"/>
              </w:tabs>
              <w:rPr>
                <w:b/>
                <w:lang w:eastAsia="en-NZ"/>
              </w:rPr>
            </w:pPr>
            <w:r w:rsidRPr="00397776">
              <w:rPr>
                <w:b/>
                <w:lang w:eastAsia="en-NZ"/>
              </w:rPr>
              <w:t>286.7</w:t>
            </w:r>
          </w:p>
        </w:tc>
      </w:tr>
    </w:tbl>
    <w:p w14:paraId="041E2FAE" w14:textId="77777777" w:rsidR="003741ED" w:rsidRPr="00DF7C22" w:rsidRDefault="003741ED" w:rsidP="00850A0F">
      <w:pPr>
        <w:pStyle w:val="Note"/>
      </w:pPr>
      <w:r w:rsidRPr="00DF7C22">
        <w:t>Data extracted from EpiSurv on 20 June 2014. Rates for cholera and toxic shellfish poisoning are &lt;0.5 per 100,000 population so not included.</w:t>
      </w:r>
    </w:p>
    <w:p w14:paraId="041E2FAF" w14:textId="77777777" w:rsidR="003741ED" w:rsidRPr="00DF7C22" w:rsidRDefault="003741ED" w:rsidP="00850A0F">
      <w:pPr>
        <w:pStyle w:val="Note"/>
      </w:pPr>
      <w:r w:rsidRPr="00DF7C22">
        <w:rPr>
          <w:vertAlign w:val="superscript"/>
        </w:rPr>
        <w:t>1</w:t>
      </w:r>
      <w:r w:rsidRPr="00DF7C22">
        <w:tab/>
        <w:t>Cases per 100,000 population calculated using mid-year population estimates.</w:t>
      </w:r>
    </w:p>
    <w:p w14:paraId="041E2FB0" w14:textId="77777777" w:rsidR="003741ED" w:rsidRPr="00DF7C22" w:rsidRDefault="003741ED" w:rsidP="00850A0F">
      <w:pPr>
        <w:pStyle w:val="Note"/>
      </w:pPr>
      <w:r w:rsidRPr="00DF7C22">
        <w:t>Notes:</w:t>
      </w:r>
    </w:p>
    <w:p w14:paraId="041E2FB1" w14:textId="77777777" w:rsidR="003741ED" w:rsidRPr="00850A0F" w:rsidRDefault="003741ED" w:rsidP="00850A0F">
      <w:pPr>
        <w:pStyle w:val="Notebullet"/>
      </w:pPr>
      <w:r w:rsidRPr="00850A0F">
        <w:t>All of the diseases included in the table have multiple possible transmission routes but have the potential to be transmitted via water. It is not possible here to attribute a specific number of cases associated with any specific transmission route. Multiple transmission routes are also possible. The number of cases attributable to a specific transmission route will vary by disease.</w:t>
      </w:r>
    </w:p>
    <w:p w14:paraId="041E2FB2" w14:textId="77777777" w:rsidR="003741ED" w:rsidRPr="00850A0F" w:rsidRDefault="003741ED" w:rsidP="00850A0F">
      <w:pPr>
        <w:pStyle w:val="Notebullet"/>
      </w:pPr>
      <w:r w:rsidRPr="00850A0F">
        <w:t>The number of cases includes imported cases. The proportion of imported cases varies by disease.</w:t>
      </w:r>
    </w:p>
    <w:p w14:paraId="041E2FB3" w14:textId="77777777" w:rsidR="00AD73CB" w:rsidRDefault="00AD73CB" w:rsidP="00AD73CB"/>
    <w:p w14:paraId="041E2FB4" w14:textId="77777777" w:rsidR="00AD73CB" w:rsidRDefault="00AD73CB" w:rsidP="00AD73CB">
      <w:pPr>
        <w:sectPr w:rsidR="00AD73CB" w:rsidSect="00AD73CB">
          <w:footerReference w:type="default" r:id="rId14"/>
          <w:pgSz w:w="16834" w:h="11907" w:orient="landscape" w:code="9"/>
          <w:pgMar w:top="1134" w:right="1134" w:bottom="1134" w:left="1134" w:header="284" w:footer="425" w:gutter="0"/>
          <w:cols w:space="720"/>
          <w:docGrid w:linePitch="286"/>
        </w:sectPr>
      </w:pPr>
    </w:p>
    <w:p w14:paraId="041E2FB5" w14:textId="77777777" w:rsidR="003741ED" w:rsidRPr="00E66263" w:rsidRDefault="003741ED" w:rsidP="008A5186">
      <w:r w:rsidRPr="00E66263">
        <w:t>Table 1.2 shows the number of outbreaks and associated cases recorded for enteric diseases and waterborne enteric diseases</w:t>
      </w:r>
      <w:r>
        <w:t xml:space="preserve"> in New Zealand</w:t>
      </w:r>
      <w:r w:rsidRPr="00E66263">
        <w:t xml:space="preserve"> for the period 2004–2013.</w:t>
      </w:r>
    </w:p>
    <w:p w14:paraId="041E2FB6" w14:textId="77777777" w:rsidR="003741ED" w:rsidRPr="00E66263" w:rsidRDefault="003741ED" w:rsidP="008A5186"/>
    <w:p w14:paraId="041E2FB7" w14:textId="77777777" w:rsidR="003741ED" w:rsidRPr="00E66263" w:rsidRDefault="003741ED" w:rsidP="008A5186">
      <w:pPr>
        <w:pStyle w:val="Table"/>
      </w:pPr>
      <w:bookmarkStart w:id="22" w:name="_Toc2333597"/>
      <w:bookmarkStart w:id="23" w:name="_Toc8979355"/>
      <w:r w:rsidRPr="00E66263">
        <w:t>Table 1.2: Number of outbreaks and associated cases recorded for enteric disease and waterborne enteric disease, 2004–2013</w:t>
      </w:r>
      <w:bookmarkEnd w:id="22"/>
      <w:bookmarkEnd w:id="23"/>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008"/>
        <w:gridCol w:w="1307"/>
        <w:gridCol w:w="1307"/>
        <w:gridCol w:w="1307"/>
        <w:gridCol w:w="1308"/>
      </w:tblGrid>
      <w:tr w:rsidR="003741ED" w:rsidRPr="008A5186" w14:paraId="041E2FBB" w14:textId="77777777" w:rsidTr="008A5186">
        <w:trPr>
          <w:cantSplit/>
        </w:trPr>
        <w:tc>
          <w:tcPr>
            <w:tcW w:w="1008" w:type="dxa"/>
            <w:vMerge w:val="restart"/>
            <w:tcBorders>
              <w:top w:val="nil"/>
              <w:bottom w:val="nil"/>
              <w:right w:val="single" w:sz="4" w:space="0" w:color="A6A6A6" w:themeColor="background1" w:themeShade="A6"/>
            </w:tcBorders>
            <w:shd w:val="clear" w:color="auto" w:fill="D9D9D9" w:themeFill="background1" w:themeFillShade="D9"/>
            <w:hideMark/>
          </w:tcPr>
          <w:p w14:paraId="041E2FB8" w14:textId="77777777" w:rsidR="003741ED" w:rsidRPr="008A5186" w:rsidRDefault="003741ED" w:rsidP="008A5186">
            <w:pPr>
              <w:pStyle w:val="TableText"/>
              <w:jc w:val="center"/>
              <w:rPr>
                <w:b/>
                <w:lang w:eastAsia="en-NZ"/>
              </w:rPr>
            </w:pPr>
            <w:r w:rsidRPr="008A5186">
              <w:rPr>
                <w:b/>
                <w:lang w:eastAsia="en-NZ"/>
              </w:rPr>
              <w:t>Year</w:t>
            </w:r>
          </w:p>
        </w:tc>
        <w:tc>
          <w:tcPr>
            <w:tcW w:w="2614"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041E2FB9" w14:textId="77777777" w:rsidR="003741ED" w:rsidRPr="008A5186" w:rsidRDefault="003741ED" w:rsidP="008A5186">
            <w:pPr>
              <w:pStyle w:val="TableText"/>
              <w:spacing w:after="0"/>
              <w:jc w:val="center"/>
              <w:rPr>
                <w:b/>
                <w:vertAlign w:val="superscript"/>
                <w:lang w:eastAsia="en-NZ"/>
              </w:rPr>
            </w:pPr>
            <w:r w:rsidRPr="008A5186">
              <w:rPr>
                <w:b/>
                <w:lang w:eastAsia="en-NZ"/>
              </w:rPr>
              <w:t>Waterborne enteric outbreaks</w:t>
            </w:r>
            <w:r w:rsidRPr="008A5186">
              <w:rPr>
                <w:b/>
                <w:vertAlign w:val="superscript"/>
                <w:lang w:eastAsia="en-NZ"/>
              </w:rPr>
              <w:t>1</w:t>
            </w:r>
          </w:p>
        </w:tc>
        <w:tc>
          <w:tcPr>
            <w:tcW w:w="2615" w:type="dxa"/>
            <w:gridSpan w:val="2"/>
            <w:tcBorders>
              <w:top w:val="nil"/>
              <w:left w:val="single" w:sz="4" w:space="0" w:color="A6A6A6" w:themeColor="background1" w:themeShade="A6"/>
              <w:bottom w:val="nil"/>
            </w:tcBorders>
            <w:shd w:val="clear" w:color="auto" w:fill="D9D9D9" w:themeFill="background1" w:themeFillShade="D9"/>
            <w:hideMark/>
          </w:tcPr>
          <w:p w14:paraId="041E2FBA" w14:textId="77777777" w:rsidR="003741ED" w:rsidRPr="008A5186" w:rsidRDefault="003741ED" w:rsidP="008A5186">
            <w:pPr>
              <w:pStyle w:val="TableText"/>
              <w:spacing w:after="0"/>
              <w:jc w:val="center"/>
              <w:rPr>
                <w:b/>
                <w:lang w:eastAsia="en-NZ"/>
              </w:rPr>
            </w:pPr>
            <w:r w:rsidRPr="008A5186">
              <w:rPr>
                <w:b/>
                <w:lang w:eastAsia="en-NZ"/>
              </w:rPr>
              <w:t>All enteric outbreaks</w:t>
            </w:r>
          </w:p>
        </w:tc>
      </w:tr>
      <w:tr w:rsidR="003741ED" w:rsidRPr="008A5186" w14:paraId="041E2FC1" w14:textId="77777777" w:rsidTr="008A5186">
        <w:trPr>
          <w:cantSplit/>
        </w:trPr>
        <w:tc>
          <w:tcPr>
            <w:tcW w:w="1008" w:type="dxa"/>
            <w:vMerge/>
            <w:tcBorders>
              <w:top w:val="nil"/>
              <w:bottom w:val="nil"/>
              <w:right w:val="single" w:sz="4" w:space="0" w:color="A6A6A6" w:themeColor="background1" w:themeShade="A6"/>
            </w:tcBorders>
            <w:shd w:val="clear" w:color="auto" w:fill="D9D9D9" w:themeFill="background1" w:themeFillShade="D9"/>
            <w:hideMark/>
          </w:tcPr>
          <w:p w14:paraId="041E2FBC" w14:textId="77777777" w:rsidR="003741ED" w:rsidRPr="008A5186" w:rsidRDefault="003741ED" w:rsidP="008A5186">
            <w:pPr>
              <w:pStyle w:val="TableText"/>
              <w:jc w:val="center"/>
              <w:rPr>
                <w:b/>
                <w:lang w:eastAsia="en-NZ"/>
              </w:rPr>
            </w:pPr>
          </w:p>
        </w:tc>
        <w:tc>
          <w:tcPr>
            <w:tcW w:w="1307" w:type="dxa"/>
            <w:tcBorders>
              <w:top w:val="nil"/>
              <w:left w:val="single" w:sz="4" w:space="0" w:color="A6A6A6" w:themeColor="background1" w:themeShade="A6"/>
              <w:bottom w:val="nil"/>
            </w:tcBorders>
            <w:shd w:val="clear" w:color="auto" w:fill="D9D9D9" w:themeFill="background1" w:themeFillShade="D9"/>
            <w:hideMark/>
          </w:tcPr>
          <w:p w14:paraId="041E2FBD" w14:textId="77777777" w:rsidR="003741ED" w:rsidRPr="008A5186" w:rsidRDefault="003741ED" w:rsidP="008A5186">
            <w:pPr>
              <w:pStyle w:val="TableText"/>
              <w:spacing w:before="0"/>
              <w:jc w:val="center"/>
              <w:rPr>
                <w:b/>
                <w:lang w:eastAsia="en-NZ"/>
              </w:rPr>
            </w:pPr>
            <w:r w:rsidRPr="008A5186">
              <w:rPr>
                <w:b/>
                <w:lang w:eastAsia="en-NZ"/>
              </w:rPr>
              <w:t>Outbreaks</w:t>
            </w:r>
          </w:p>
        </w:tc>
        <w:tc>
          <w:tcPr>
            <w:tcW w:w="1307" w:type="dxa"/>
            <w:tcBorders>
              <w:top w:val="nil"/>
              <w:bottom w:val="nil"/>
              <w:right w:val="single" w:sz="4" w:space="0" w:color="A6A6A6" w:themeColor="background1" w:themeShade="A6"/>
            </w:tcBorders>
            <w:shd w:val="clear" w:color="auto" w:fill="D9D9D9" w:themeFill="background1" w:themeFillShade="D9"/>
            <w:hideMark/>
          </w:tcPr>
          <w:p w14:paraId="041E2FBE" w14:textId="77777777" w:rsidR="003741ED" w:rsidRPr="008A5186" w:rsidRDefault="003741ED" w:rsidP="008A5186">
            <w:pPr>
              <w:pStyle w:val="TableText"/>
              <w:spacing w:before="0"/>
              <w:jc w:val="center"/>
              <w:rPr>
                <w:b/>
                <w:lang w:eastAsia="en-NZ"/>
              </w:rPr>
            </w:pPr>
            <w:r w:rsidRPr="008A5186">
              <w:rPr>
                <w:b/>
                <w:lang w:eastAsia="en-NZ"/>
              </w:rPr>
              <w:t>Cases</w:t>
            </w:r>
          </w:p>
        </w:tc>
        <w:tc>
          <w:tcPr>
            <w:tcW w:w="1307" w:type="dxa"/>
            <w:tcBorders>
              <w:top w:val="nil"/>
              <w:left w:val="single" w:sz="4" w:space="0" w:color="A6A6A6" w:themeColor="background1" w:themeShade="A6"/>
              <w:bottom w:val="nil"/>
            </w:tcBorders>
            <w:shd w:val="clear" w:color="auto" w:fill="D9D9D9" w:themeFill="background1" w:themeFillShade="D9"/>
            <w:hideMark/>
          </w:tcPr>
          <w:p w14:paraId="041E2FBF" w14:textId="77777777" w:rsidR="003741ED" w:rsidRPr="008A5186" w:rsidRDefault="003741ED" w:rsidP="008A5186">
            <w:pPr>
              <w:pStyle w:val="TableText"/>
              <w:spacing w:before="0"/>
              <w:jc w:val="center"/>
              <w:rPr>
                <w:b/>
                <w:lang w:eastAsia="en-NZ"/>
              </w:rPr>
            </w:pPr>
            <w:r w:rsidRPr="008A5186">
              <w:rPr>
                <w:b/>
                <w:lang w:eastAsia="en-NZ"/>
              </w:rPr>
              <w:t>Outbreaks</w:t>
            </w:r>
          </w:p>
        </w:tc>
        <w:tc>
          <w:tcPr>
            <w:tcW w:w="1308" w:type="dxa"/>
            <w:tcBorders>
              <w:top w:val="nil"/>
              <w:bottom w:val="nil"/>
            </w:tcBorders>
            <w:shd w:val="clear" w:color="auto" w:fill="D9D9D9" w:themeFill="background1" w:themeFillShade="D9"/>
            <w:hideMark/>
          </w:tcPr>
          <w:p w14:paraId="041E2FC0" w14:textId="77777777" w:rsidR="003741ED" w:rsidRPr="008A5186" w:rsidRDefault="003741ED" w:rsidP="008A5186">
            <w:pPr>
              <w:pStyle w:val="TableText"/>
              <w:spacing w:before="0"/>
              <w:jc w:val="center"/>
              <w:rPr>
                <w:b/>
                <w:lang w:eastAsia="en-NZ"/>
              </w:rPr>
            </w:pPr>
            <w:r w:rsidRPr="008A5186">
              <w:rPr>
                <w:b/>
                <w:lang w:eastAsia="en-NZ"/>
              </w:rPr>
              <w:t>Cases</w:t>
            </w:r>
          </w:p>
        </w:tc>
      </w:tr>
      <w:tr w:rsidR="003741ED" w:rsidRPr="00E66263" w14:paraId="041E2FC7" w14:textId="77777777" w:rsidTr="008A5186">
        <w:trPr>
          <w:cantSplit/>
        </w:trPr>
        <w:tc>
          <w:tcPr>
            <w:tcW w:w="1008" w:type="dxa"/>
            <w:tcBorders>
              <w:top w:val="nil"/>
              <w:right w:val="single" w:sz="4" w:space="0" w:color="A6A6A6" w:themeColor="background1" w:themeShade="A6"/>
            </w:tcBorders>
            <w:shd w:val="clear" w:color="auto" w:fill="auto"/>
            <w:hideMark/>
          </w:tcPr>
          <w:p w14:paraId="041E2FC2" w14:textId="77777777" w:rsidR="003741ED" w:rsidRPr="00E66263" w:rsidRDefault="003741ED" w:rsidP="008A5186">
            <w:pPr>
              <w:pStyle w:val="TableText"/>
              <w:jc w:val="center"/>
              <w:rPr>
                <w:lang w:eastAsia="en-NZ"/>
              </w:rPr>
            </w:pPr>
            <w:r w:rsidRPr="00E66263">
              <w:rPr>
                <w:lang w:eastAsia="en-NZ"/>
              </w:rPr>
              <w:t>2004</w:t>
            </w:r>
          </w:p>
        </w:tc>
        <w:tc>
          <w:tcPr>
            <w:tcW w:w="1307" w:type="dxa"/>
            <w:tcBorders>
              <w:top w:val="nil"/>
              <w:left w:val="single" w:sz="4" w:space="0" w:color="A6A6A6" w:themeColor="background1" w:themeShade="A6"/>
            </w:tcBorders>
            <w:shd w:val="clear" w:color="auto" w:fill="auto"/>
            <w:hideMark/>
          </w:tcPr>
          <w:p w14:paraId="041E2FC3" w14:textId="77777777" w:rsidR="003741ED" w:rsidRPr="00E66263" w:rsidRDefault="003741ED" w:rsidP="008A5186">
            <w:pPr>
              <w:pStyle w:val="TableText"/>
              <w:jc w:val="center"/>
              <w:rPr>
                <w:lang w:eastAsia="en-NZ"/>
              </w:rPr>
            </w:pPr>
            <w:r w:rsidRPr="00E66263">
              <w:rPr>
                <w:lang w:eastAsia="en-NZ"/>
              </w:rPr>
              <w:t>24</w:t>
            </w:r>
          </w:p>
        </w:tc>
        <w:tc>
          <w:tcPr>
            <w:tcW w:w="1307" w:type="dxa"/>
            <w:tcBorders>
              <w:top w:val="nil"/>
              <w:right w:val="single" w:sz="4" w:space="0" w:color="A6A6A6" w:themeColor="background1" w:themeShade="A6"/>
            </w:tcBorders>
            <w:shd w:val="clear" w:color="auto" w:fill="auto"/>
            <w:hideMark/>
          </w:tcPr>
          <w:p w14:paraId="041E2FC4" w14:textId="77777777" w:rsidR="003741ED" w:rsidRPr="00E66263" w:rsidRDefault="003741ED" w:rsidP="008A5186">
            <w:pPr>
              <w:pStyle w:val="TableText"/>
              <w:tabs>
                <w:tab w:val="decimal" w:pos="747"/>
              </w:tabs>
              <w:rPr>
                <w:lang w:eastAsia="en-NZ"/>
              </w:rPr>
            </w:pPr>
            <w:r w:rsidRPr="00E66263">
              <w:rPr>
                <w:lang w:eastAsia="en-NZ"/>
              </w:rPr>
              <w:t>118</w:t>
            </w:r>
          </w:p>
        </w:tc>
        <w:tc>
          <w:tcPr>
            <w:tcW w:w="1307" w:type="dxa"/>
            <w:tcBorders>
              <w:top w:val="nil"/>
              <w:left w:val="single" w:sz="4" w:space="0" w:color="A6A6A6" w:themeColor="background1" w:themeShade="A6"/>
            </w:tcBorders>
            <w:shd w:val="clear" w:color="auto" w:fill="auto"/>
            <w:hideMark/>
          </w:tcPr>
          <w:p w14:paraId="041E2FC5" w14:textId="77777777" w:rsidR="003741ED" w:rsidRPr="00E66263" w:rsidRDefault="003741ED" w:rsidP="008A5186">
            <w:pPr>
              <w:pStyle w:val="TableText"/>
              <w:jc w:val="center"/>
              <w:rPr>
                <w:lang w:eastAsia="en-NZ"/>
              </w:rPr>
            </w:pPr>
            <w:r w:rsidRPr="00E66263">
              <w:rPr>
                <w:lang w:eastAsia="en-NZ"/>
              </w:rPr>
              <w:t>363</w:t>
            </w:r>
          </w:p>
        </w:tc>
        <w:tc>
          <w:tcPr>
            <w:tcW w:w="1308" w:type="dxa"/>
            <w:tcBorders>
              <w:top w:val="nil"/>
            </w:tcBorders>
            <w:shd w:val="clear" w:color="auto" w:fill="auto"/>
            <w:hideMark/>
          </w:tcPr>
          <w:p w14:paraId="041E2FC6" w14:textId="77777777" w:rsidR="003741ED" w:rsidRPr="00E66263" w:rsidRDefault="003741ED" w:rsidP="008A5186">
            <w:pPr>
              <w:pStyle w:val="TableText"/>
              <w:tabs>
                <w:tab w:val="decimal" w:pos="787"/>
              </w:tabs>
              <w:rPr>
                <w:lang w:eastAsia="en-NZ"/>
              </w:rPr>
            </w:pPr>
            <w:r w:rsidRPr="00E66263">
              <w:rPr>
                <w:lang w:eastAsia="en-NZ"/>
              </w:rPr>
              <w:t>4</w:t>
            </w:r>
            <w:r>
              <w:rPr>
                <w:lang w:eastAsia="en-NZ"/>
              </w:rPr>
              <w:t>,</w:t>
            </w:r>
            <w:r w:rsidRPr="00E66263">
              <w:rPr>
                <w:lang w:eastAsia="en-NZ"/>
              </w:rPr>
              <w:t>623</w:t>
            </w:r>
          </w:p>
        </w:tc>
      </w:tr>
      <w:tr w:rsidR="003741ED" w:rsidRPr="00E66263" w14:paraId="041E2FCD" w14:textId="77777777" w:rsidTr="008A5186">
        <w:trPr>
          <w:cantSplit/>
        </w:trPr>
        <w:tc>
          <w:tcPr>
            <w:tcW w:w="1008" w:type="dxa"/>
            <w:tcBorders>
              <w:right w:val="single" w:sz="4" w:space="0" w:color="A6A6A6" w:themeColor="background1" w:themeShade="A6"/>
            </w:tcBorders>
            <w:shd w:val="clear" w:color="auto" w:fill="auto"/>
            <w:hideMark/>
          </w:tcPr>
          <w:p w14:paraId="041E2FC8" w14:textId="77777777" w:rsidR="003741ED" w:rsidRPr="00E66263" w:rsidRDefault="003741ED" w:rsidP="008A5186">
            <w:pPr>
              <w:pStyle w:val="TableText"/>
              <w:jc w:val="center"/>
              <w:rPr>
                <w:lang w:eastAsia="en-NZ"/>
              </w:rPr>
            </w:pPr>
            <w:r w:rsidRPr="00E66263">
              <w:rPr>
                <w:lang w:eastAsia="en-NZ"/>
              </w:rPr>
              <w:t>2005</w:t>
            </w:r>
          </w:p>
        </w:tc>
        <w:tc>
          <w:tcPr>
            <w:tcW w:w="1307" w:type="dxa"/>
            <w:tcBorders>
              <w:left w:val="single" w:sz="4" w:space="0" w:color="A6A6A6" w:themeColor="background1" w:themeShade="A6"/>
            </w:tcBorders>
            <w:shd w:val="clear" w:color="auto" w:fill="auto"/>
            <w:hideMark/>
          </w:tcPr>
          <w:p w14:paraId="041E2FC9" w14:textId="77777777" w:rsidR="003741ED" w:rsidRPr="00E66263" w:rsidRDefault="003741ED" w:rsidP="008A5186">
            <w:pPr>
              <w:pStyle w:val="TableText"/>
              <w:jc w:val="center"/>
              <w:rPr>
                <w:lang w:eastAsia="en-NZ"/>
              </w:rPr>
            </w:pPr>
            <w:r w:rsidRPr="00E66263">
              <w:rPr>
                <w:lang w:eastAsia="en-NZ"/>
              </w:rPr>
              <w:t>27</w:t>
            </w:r>
          </w:p>
        </w:tc>
        <w:tc>
          <w:tcPr>
            <w:tcW w:w="1307" w:type="dxa"/>
            <w:tcBorders>
              <w:right w:val="single" w:sz="4" w:space="0" w:color="A6A6A6" w:themeColor="background1" w:themeShade="A6"/>
            </w:tcBorders>
            <w:shd w:val="clear" w:color="auto" w:fill="auto"/>
            <w:hideMark/>
          </w:tcPr>
          <w:p w14:paraId="041E2FCA" w14:textId="77777777" w:rsidR="003741ED" w:rsidRPr="00E66263" w:rsidRDefault="003741ED" w:rsidP="008A5186">
            <w:pPr>
              <w:pStyle w:val="TableText"/>
              <w:tabs>
                <w:tab w:val="decimal" w:pos="747"/>
              </w:tabs>
              <w:rPr>
                <w:lang w:eastAsia="en-NZ"/>
              </w:rPr>
            </w:pPr>
            <w:r w:rsidRPr="00E66263">
              <w:rPr>
                <w:lang w:eastAsia="en-NZ"/>
              </w:rPr>
              <w:t>184</w:t>
            </w:r>
          </w:p>
        </w:tc>
        <w:tc>
          <w:tcPr>
            <w:tcW w:w="1307" w:type="dxa"/>
            <w:tcBorders>
              <w:left w:val="single" w:sz="4" w:space="0" w:color="A6A6A6" w:themeColor="background1" w:themeShade="A6"/>
            </w:tcBorders>
            <w:shd w:val="clear" w:color="auto" w:fill="auto"/>
            <w:hideMark/>
          </w:tcPr>
          <w:p w14:paraId="041E2FCB" w14:textId="77777777" w:rsidR="003741ED" w:rsidRPr="00E66263" w:rsidRDefault="003741ED" w:rsidP="008A5186">
            <w:pPr>
              <w:pStyle w:val="TableText"/>
              <w:jc w:val="center"/>
              <w:rPr>
                <w:lang w:eastAsia="en-NZ"/>
              </w:rPr>
            </w:pPr>
            <w:r w:rsidRPr="00E66263">
              <w:rPr>
                <w:lang w:eastAsia="en-NZ"/>
              </w:rPr>
              <w:t>342</w:t>
            </w:r>
          </w:p>
        </w:tc>
        <w:tc>
          <w:tcPr>
            <w:tcW w:w="1308" w:type="dxa"/>
            <w:shd w:val="clear" w:color="auto" w:fill="auto"/>
            <w:hideMark/>
          </w:tcPr>
          <w:p w14:paraId="041E2FCC" w14:textId="77777777" w:rsidR="003741ED" w:rsidRPr="00E66263" w:rsidRDefault="003741ED" w:rsidP="008A5186">
            <w:pPr>
              <w:pStyle w:val="TableText"/>
              <w:tabs>
                <w:tab w:val="decimal" w:pos="787"/>
              </w:tabs>
              <w:rPr>
                <w:lang w:eastAsia="en-NZ"/>
              </w:rPr>
            </w:pPr>
            <w:r w:rsidRPr="00E66263">
              <w:rPr>
                <w:lang w:eastAsia="en-NZ"/>
              </w:rPr>
              <w:t>2</w:t>
            </w:r>
            <w:r>
              <w:rPr>
                <w:lang w:eastAsia="en-NZ"/>
              </w:rPr>
              <w:t>,</w:t>
            </w:r>
            <w:r w:rsidRPr="00E66263">
              <w:rPr>
                <w:lang w:eastAsia="en-NZ"/>
              </w:rPr>
              <w:t>365</w:t>
            </w:r>
          </w:p>
        </w:tc>
      </w:tr>
      <w:tr w:rsidR="003741ED" w:rsidRPr="00E66263" w14:paraId="041E2FD3" w14:textId="77777777" w:rsidTr="008A5186">
        <w:trPr>
          <w:cantSplit/>
        </w:trPr>
        <w:tc>
          <w:tcPr>
            <w:tcW w:w="1008" w:type="dxa"/>
            <w:tcBorders>
              <w:right w:val="single" w:sz="4" w:space="0" w:color="A6A6A6" w:themeColor="background1" w:themeShade="A6"/>
            </w:tcBorders>
            <w:shd w:val="clear" w:color="auto" w:fill="auto"/>
            <w:hideMark/>
          </w:tcPr>
          <w:p w14:paraId="041E2FCE" w14:textId="77777777" w:rsidR="003741ED" w:rsidRPr="00E66263" w:rsidRDefault="003741ED" w:rsidP="008A5186">
            <w:pPr>
              <w:pStyle w:val="TableText"/>
              <w:jc w:val="center"/>
              <w:rPr>
                <w:lang w:eastAsia="en-NZ"/>
              </w:rPr>
            </w:pPr>
            <w:r w:rsidRPr="00E66263">
              <w:rPr>
                <w:lang w:eastAsia="en-NZ"/>
              </w:rPr>
              <w:t>2006</w:t>
            </w:r>
          </w:p>
        </w:tc>
        <w:tc>
          <w:tcPr>
            <w:tcW w:w="1307" w:type="dxa"/>
            <w:tcBorders>
              <w:left w:val="single" w:sz="4" w:space="0" w:color="A6A6A6" w:themeColor="background1" w:themeShade="A6"/>
            </w:tcBorders>
            <w:shd w:val="clear" w:color="auto" w:fill="auto"/>
            <w:hideMark/>
          </w:tcPr>
          <w:p w14:paraId="041E2FCF" w14:textId="77777777" w:rsidR="003741ED" w:rsidRPr="00E66263" w:rsidRDefault="003741ED" w:rsidP="008A5186">
            <w:pPr>
              <w:pStyle w:val="TableText"/>
              <w:jc w:val="center"/>
              <w:rPr>
                <w:lang w:eastAsia="en-NZ"/>
              </w:rPr>
            </w:pPr>
            <w:r w:rsidRPr="00E66263">
              <w:rPr>
                <w:lang w:eastAsia="en-NZ"/>
              </w:rPr>
              <w:t>18</w:t>
            </w:r>
          </w:p>
        </w:tc>
        <w:tc>
          <w:tcPr>
            <w:tcW w:w="1307" w:type="dxa"/>
            <w:tcBorders>
              <w:right w:val="single" w:sz="4" w:space="0" w:color="A6A6A6" w:themeColor="background1" w:themeShade="A6"/>
            </w:tcBorders>
            <w:shd w:val="clear" w:color="auto" w:fill="auto"/>
            <w:hideMark/>
          </w:tcPr>
          <w:p w14:paraId="041E2FD0" w14:textId="77777777" w:rsidR="003741ED" w:rsidRPr="00E66263" w:rsidRDefault="003741ED" w:rsidP="008A5186">
            <w:pPr>
              <w:pStyle w:val="TableText"/>
              <w:tabs>
                <w:tab w:val="decimal" w:pos="747"/>
              </w:tabs>
              <w:rPr>
                <w:lang w:eastAsia="en-NZ"/>
              </w:rPr>
            </w:pPr>
            <w:r w:rsidRPr="00E66263">
              <w:rPr>
                <w:lang w:eastAsia="en-NZ"/>
              </w:rPr>
              <w:t>284</w:t>
            </w:r>
          </w:p>
        </w:tc>
        <w:tc>
          <w:tcPr>
            <w:tcW w:w="1307" w:type="dxa"/>
            <w:tcBorders>
              <w:left w:val="single" w:sz="4" w:space="0" w:color="A6A6A6" w:themeColor="background1" w:themeShade="A6"/>
            </w:tcBorders>
            <w:shd w:val="clear" w:color="auto" w:fill="auto"/>
            <w:hideMark/>
          </w:tcPr>
          <w:p w14:paraId="041E2FD1" w14:textId="77777777" w:rsidR="003741ED" w:rsidRPr="00E66263" w:rsidRDefault="003741ED" w:rsidP="008A5186">
            <w:pPr>
              <w:pStyle w:val="TableText"/>
              <w:jc w:val="center"/>
              <w:rPr>
                <w:lang w:eastAsia="en-NZ"/>
              </w:rPr>
            </w:pPr>
            <w:r w:rsidRPr="00E66263">
              <w:rPr>
                <w:lang w:eastAsia="en-NZ"/>
              </w:rPr>
              <w:t>483</w:t>
            </w:r>
          </w:p>
        </w:tc>
        <w:tc>
          <w:tcPr>
            <w:tcW w:w="1308" w:type="dxa"/>
            <w:shd w:val="clear" w:color="auto" w:fill="auto"/>
            <w:hideMark/>
          </w:tcPr>
          <w:p w14:paraId="041E2FD2" w14:textId="77777777" w:rsidR="003741ED" w:rsidRPr="00E66263" w:rsidRDefault="003741ED" w:rsidP="008A5186">
            <w:pPr>
              <w:pStyle w:val="TableText"/>
              <w:tabs>
                <w:tab w:val="decimal" w:pos="787"/>
              </w:tabs>
              <w:rPr>
                <w:lang w:eastAsia="en-NZ"/>
              </w:rPr>
            </w:pPr>
            <w:r w:rsidRPr="00E66263">
              <w:rPr>
                <w:lang w:eastAsia="en-NZ"/>
              </w:rPr>
              <w:t>6</w:t>
            </w:r>
            <w:r>
              <w:rPr>
                <w:lang w:eastAsia="en-NZ"/>
              </w:rPr>
              <w:t>,</w:t>
            </w:r>
            <w:r w:rsidRPr="00E66263">
              <w:rPr>
                <w:lang w:eastAsia="en-NZ"/>
              </w:rPr>
              <w:t>171</w:t>
            </w:r>
          </w:p>
        </w:tc>
      </w:tr>
      <w:tr w:rsidR="003741ED" w:rsidRPr="00E66263" w14:paraId="041E2FD9" w14:textId="77777777" w:rsidTr="008A5186">
        <w:trPr>
          <w:cantSplit/>
        </w:trPr>
        <w:tc>
          <w:tcPr>
            <w:tcW w:w="1008" w:type="dxa"/>
            <w:tcBorders>
              <w:right w:val="single" w:sz="4" w:space="0" w:color="A6A6A6" w:themeColor="background1" w:themeShade="A6"/>
            </w:tcBorders>
            <w:shd w:val="clear" w:color="auto" w:fill="auto"/>
            <w:hideMark/>
          </w:tcPr>
          <w:p w14:paraId="041E2FD4" w14:textId="77777777" w:rsidR="003741ED" w:rsidRPr="00E66263" w:rsidRDefault="003741ED" w:rsidP="008A5186">
            <w:pPr>
              <w:pStyle w:val="TableText"/>
              <w:jc w:val="center"/>
              <w:rPr>
                <w:lang w:eastAsia="en-NZ"/>
              </w:rPr>
            </w:pPr>
            <w:r w:rsidRPr="00E66263">
              <w:rPr>
                <w:lang w:eastAsia="en-NZ"/>
              </w:rPr>
              <w:t>2007</w:t>
            </w:r>
          </w:p>
        </w:tc>
        <w:tc>
          <w:tcPr>
            <w:tcW w:w="1307" w:type="dxa"/>
            <w:tcBorders>
              <w:left w:val="single" w:sz="4" w:space="0" w:color="A6A6A6" w:themeColor="background1" w:themeShade="A6"/>
            </w:tcBorders>
            <w:shd w:val="clear" w:color="auto" w:fill="auto"/>
            <w:hideMark/>
          </w:tcPr>
          <w:p w14:paraId="041E2FD5" w14:textId="77777777" w:rsidR="003741ED" w:rsidRPr="00E66263" w:rsidRDefault="003741ED" w:rsidP="008A5186">
            <w:pPr>
              <w:pStyle w:val="TableText"/>
              <w:jc w:val="center"/>
              <w:rPr>
                <w:lang w:eastAsia="en-NZ"/>
              </w:rPr>
            </w:pPr>
            <w:r w:rsidRPr="00E66263">
              <w:rPr>
                <w:lang w:eastAsia="en-NZ"/>
              </w:rPr>
              <w:t>15</w:t>
            </w:r>
          </w:p>
        </w:tc>
        <w:tc>
          <w:tcPr>
            <w:tcW w:w="1307" w:type="dxa"/>
            <w:tcBorders>
              <w:right w:val="single" w:sz="4" w:space="0" w:color="A6A6A6" w:themeColor="background1" w:themeShade="A6"/>
            </w:tcBorders>
            <w:shd w:val="clear" w:color="auto" w:fill="auto"/>
            <w:hideMark/>
          </w:tcPr>
          <w:p w14:paraId="041E2FD6" w14:textId="77777777" w:rsidR="003741ED" w:rsidRPr="00E66263" w:rsidRDefault="003741ED" w:rsidP="008A5186">
            <w:pPr>
              <w:pStyle w:val="TableText"/>
              <w:tabs>
                <w:tab w:val="decimal" w:pos="747"/>
              </w:tabs>
              <w:rPr>
                <w:lang w:eastAsia="en-NZ"/>
              </w:rPr>
            </w:pPr>
            <w:r w:rsidRPr="00E66263">
              <w:rPr>
                <w:lang w:eastAsia="en-NZ"/>
              </w:rPr>
              <w:t>205</w:t>
            </w:r>
          </w:p>
        </w:tc>
        <w:tc>
          <w:tcPr>
            <w:tcW w:w="1307" w:type="dxa"/>
            <w:tcBorders>
              <w:left w:val="single" w:sz="4" w:space="0" w:color="A6A6A6" w:themeColor="background1" w:themeShade="A6"/>
            </w:tcBorders>
            <w:shd w:val="clear" w:color="auto" w:fill="auto"/>
            <w:hideMark/>
          </w:tcPr>
          <w:p w14:paraId="041E2FD7" w14:textId="77777777" w:rsidR="003741ED" w:rsidRPr="00E66263" w:rsidRDefault="003741ED" w:rsidP="008A5186">
            <w:pPr>
              <w:pStyle w:val="TableText"/>
              <w:jc w:val="center"/>
              <w:rPr>
                <w:lang w:eastAsia="en-NZ"/>
              </w:rPr>
            </w:pPr>
            <w:r w:rsidRPr="00E66263">
              <w:rPr>
                <w:lang w:eastAsia="en-NZ"/>
              </w:rPr>
              <w:t>479</w:t>
            </w:r>
          </w:p>
        </w:tc>
        <w:tc>
          <w:tcPr>
            <w:tcW w:w="1308" w:type="dxa"/>
            <w:shd w:val="clear" w:color="auto" w:fill="auto"/>
            <w:hideMark/>
          </w:tcPr>
          <w:p w14:paraId="041E2FD8" w14:textId="77777777" w:rsidR="003741ED" w:rsidRPr="00E66263" w:rsidRDefault="003741ED" w:rsidP="008A5186">
            <w:pPr>
              <w:pStyle w:val="TableText"/>
              <w:tabs>
                <w:tab w:val="decimal" w:pos="787"/>
              </w:tabs>
              <w:rPr>
                <w:lang w:eastAsia="en-NZ"/>
              </w:rPr>
            </w:pPr>
            <w:r w:rsidRPr="00E66263">
              <w:rPr>
                <w:lang w:eastAsia="en-NZ"/>
              </w:rPr>
              <w:t>7</w:t>
            </w:r>
            <w:r>
              <w:rPr>
                <w:lang w:eastAsia="en-NZ"/>
              </w:rPr>
              <w:t>,</w:t>
            </w:r>
            <w:r w:rsidRPr="00E66263">
              <w:rPr>
                <w:lang w:eastAsia="en-NZ"/>
              </w:rPr>
              <w:t>866</w:t>
            </w:r>
          </w:p>
        </w:tc>
      </w:tr>
      <w:tr w:rsidR="003741ED" w:rsidRPr="00E66263" w14:paraId="041E2FDF" w14:textId="77777777" w:rsidTr="008A5186">
        <w:trPr>
          <w:cantSplit/>
        </w:trPr>
        <w:tc>
          <w:tcPr>
            <w:tcW w:w="1008" w:type="dxa"/>
            <w:tcBorders>
              <w:right w:val="single" w:sz="4" w:space="0" w:color="A6A6A6" w:themeColor="background1" w:themeShade="A6"/>
            </w:tcBorders>
            <w:shd w:val="clear" w:color="auto" w:fill="auto"/>
            <w:hideMark/>
          </w:tcPr>
          <w:p w14:paraId="041E2FDA" w14:textId="77777777" w:rsidR="003741ED" w:rsidRPr="00E66263" w:rsidRDefault="003741ED" w:rsidP="008A5186">
            <w:pPr>
              <w:pStyle w:val="TableText"/>
              <w:jc w:val="center"/>
              <w:rPr>
                <w:lang w:eastAsia="en-NZ"/>
              </w:rPr>
            </w:pPr>
            <w:r w:rsidRPr="00E66263">
              <w:rPr>
                <w:lang w:eastAsia="en-NZ"/>
              </w:rPr>
              <w:t>2008</w:t>
            </w:r>
          </w:p>
        </w:tc>
        <w:tc>
          <w:tcPr>
            <w:tcW w:w="1307" w:type="dxa"/>
            <w:tcBorders>
              <w:left w:val="single" w:sz="4" w:space="0" w:color="A6A6A6" w:themeColor="background1" w:themeShade="A6"/>
            </w:tcBorders>
            <w:shd w:val="clear" w:color="auto" w:fill="auto"/>
            <w:hideMark/>
          </w:tcPr>
          <w:p w14:paraId="041E2FDB" w14:textId="77777777" w:rsidR="003741ED" w:rsidRPr="00E66263" w:rsidRDefault="003741ED" w:rsidP="008A5186">
            <w:pPr>
              <w:pStyle w:val="TableText"/>
              <w:jc w:val="center"/>
              <w:rPr>
                <w:lang w:eastAsia="en-NZ"/>
              </w:rPr>
            </w:pPr>
            <w:r w:rsidRPr="00E66263">
              <w:rPr>
                <w:lang w:eastAsia="en-NZ"/>
              </w:rPr>
              <w:t>26</w:t>
            </w:r>
          </w:p>
        </w:tc>
        <w:tc>
          <w:tcPr>
            <w:tcW w:w="1307" w:type="dxa"/>
            <w:tcBorders>
              <w:right w:val="single" w:sz="4" w:space="0" w:color="A6A6A6" w:themeColor="background1" w:themeShade="A6"/>
            </w:tcBorders>
            <w:shd w:val="clear" w:color="auto" w:fill="auto"/>
            <w:hideMark/>
          </w:tcPr>
          <w:p w14:paraId="041E2FDC" w14:textId="77777777" w:rsidR="003741ED" w:rsidRPr="00E66263" w:rsidRDefault="003741ED" w:rsidP="008A5186">
            <w:pPr>
              <w:pStyle w:val="TableText"/>
              <w:tabs>
                <w:tab w:val="decimal" w:pos="747"/>
              </w:tabs>
              <w:rPr>
                <w:lang w:eastAsia="en-NZ"/>
              </w:rPr>
            </w:pPr>
            <w:r w:rsidRPr="00E66263">
              <w:rPr>
                <w:lang w:eastAsia="en-NZ"/>
              </w:rPr>
              <w:t>159</w:t>
            </w:r>
          </w:p>
        </w:tc>
        <w:tc>
          <w:tcPr>
            <w:tcW w:w="1307" w:type="dxa"/>
            <w:tcBorders>
              <w:left w:val="single" w:sz="4" w:space="0" w:color="A6A6A6" w:themeColor="background1" w:themeShade="A6"/>
            </w:tcBorders>
            <w:shd w:val="clear" w:color="auto" w:fill="auto"/>
            <w:hideMark/>
          </w:tcPr>
          <w:p w14:paraId="041E2FDD" w14:textId="77777777" w:rsidR="003741ED" w:rsidRPr="00E66263" w:rsidRDefault="003741ED" w:rsidP="008A5186">
            <w:pPr>
              <w:pStyle w:val="TableText"/>
              <w:jc w:val="center"/>
              <w:rPr>
                <w:lang w:eastAsia="en-NZ"/>
              </w:rPr>
            </w:pPr>
            <w:r w:rsidRPr="00E66263">
              <w:rPr>
                <w:lang w:eastAsia="en-NZ"/>
              </w:rPr>
              <w:t>429</w:t>
            </w:r>
          </w:p>
        </w:tc>
        <w:tc>
          <w:tcPr>
            <w:tcW w:w="1308" w:type="dxa"/>
            <w:shd w:val="clear" w:color="auto" w:fill="auto"/>
            <w:hideMark/>
          </w:tcPr>
          <w:p w14:paraId="041E2FDE" w14:textId="77777777" w:rsidR="003741ED" w:rsidRPr="00E66263" w:rsidRDefault="003741ED" w:rsidP="008A5186">
            <w:pPr>
              <w:pStyle w:val="TableText"/>
              <w:tabs>
                <w:tab w:val="decimal" w:pos="787"/>
              </w:tabs>
              <w:rPr>
                <w:lang w:eastAsia="en-NZ"/>
              </w:rPr>
            </w:pPr>
            <w:r w:rsidRPr="00E66263">
              <w:rPr>
                <w:lang w:eastAsia="en-NZ"/>
              </w:rPr>
              <w:t>6</w:t>
            </w:r>
            <w:r>
              <w:rPr>
                <w:lang w:eastAsia="en-NZ"/>
              </w:rPr>
              <w:t>,</w:t>
            </w:r>
            <w:r w:rsidRPr="00E66263">
              <w:rPr>
                <w:lang w:eastAsia="en-NZ"/>
              </w:rPr>
              <w:t>311</w:t>
            </w:r>
          </w:p>
        </w:tc>
      </w:tr>
      <w:tr w:rsidR="003741ED" w:rsidRPr="00E66263" w14:paraId="041E2FE5" w14:textId="77777777" w:rsidTr="008A5186">
        <w:trPr>
          <w:cantSplit/>
        </w:trPr>
        <w:tc>
          <w:tcPr>
            <w:tcW w:w="1008" w:type="dxa"/>
            <w:tcBorders>
              <w:right w:val="single" w:sz="4" w:space="0" w:color="A6A6A6" w:themeColor="background1" w:themeShade="A6"/>
            </w:tcBorders>
            <w:shd w:val="clear" w:color="auto" w:fill="auto"/>
            <w:hideMark/>
          </w:tcPr>
          <w:p w14:paraId="041E2FE0" w14:textId="77777777" w:rsidR="003741ED" w:rsidRPr="00E66263" w:rsidRDefault="003741ED" w:rsidP="008A5186">
            <w:pPr>
              <w:pStyle w:val="TableText"/>
              <w:jc w:val="center"/>
              <w:rPr>
                <w:lang w:eastAsia="en-NZ"/>
              </w:rPr>
            </w:pPr>
            <w:r w:rsidRPr="00E66263">
              <w:rPr>
                <w:lang w:eastAsia="en-NZ"/>
              </w:rPr>
              <w:t>2009</w:t>
            </w:r>
          </w:p>
        </w:tc>
        <w:tc>
          <w:tcPr>
            <w:tcW w:w="1307" w:type="dxa"/>
            <w:tcBorders>
              <w:left w:val="single" w:sz="4" w:space="0" w:color="A6A6A6" w:themeColor="background1" w:themeShade="A6"/>
            </w:tcBorders>
            <w:shd w:val="clear" w:color="auto" w:fill="auto"/>
            <w:hideMark/>
          </w:tcPr>
          <w:p w14:paraId="041E2FE1" w14:textId="77777777" w:rsidR="003741ED" w:rsidRPr="00E66263" w:rsidRDefault="003741ED" w:rsidP="008A5186">
            <w:pPr>
              <w:pStyle w:val="TableText"/>
              <w:jc w:val="center"/>
              <w:rPr>
                <w:lang w:eastAsia="en-NZ"/>
              </w:rPr>
            </w:pPr>
            <w:r w:rsidRPr="00E66263">
              <w:rPr>
                <w:lang w:eastAsia="en-NZ"/>
              </w:rPr>
              <w:t>24</w:t>
            </w:r>
          </w:p>
        </w:tc>
        <w:tc>
          <w:tcPr>
            <w:tcW w:w="1307" w:type="dxa"/>
            <w:tcBorders>
              <w:right w:val="single" w:sz="4" w:space="0" w:color="A6A6A6" w:themeColor="background1" w:themeShade="A6"/>
            </w:tcBorders>
            <w:shd w:val="clear" w:color="auto" w:fill="auto"/>
            <w:hideMark/>
          </w:tcPr>
          <w:p w14:paraId="041E2FE2" w14:textId="77777777" w:rsidR="003741ED" w:rsidRPr="00E66263" w:rsidRDefault="003741ED" w:rsidP="008A5186">
            <w:pPr>
              <w:pStyle w:val="TableText"/>
              <w:tabs>
                <w:tab w:val="decimal" w:pos="747"/>
              </w:tabs>
              <w:rPr>
                <w:lang w:eastAsia="en-NZ"/>
              </w:rPr>
            </w:pPr>
            <w:r w:rsidRPr="00E66263">
              <w:rPr>
                <w:lang w:eastAsia="en-NZ"/>
              </w:rPr>
              <w:t>87</w:t>
            </w:r>
          </w:p>
        </w:tc>
        <w:tc>
          <w:tcPr>
            <w:tcW w:w="1307" w:type="dxa"/>
            <w:tcBorders>
              <w:left w:val="single" w:sz="4" w:space="0" w:color="A6A6A6" w:themeColor="background1" w:themeShade="A6"/>
            </w:tcBorders>
            <w:shd w:val="clear" w:color="auto" w:fill="auto"/>
            <w:hideMark/>
          </w:tcPr>
          <w:p w14:paraId="041E2FE3" w14:textId="77777777" w:rsidR="003741ED" w:rsidRPr="00E66263" w:rsidRDefault="003741ED" w:rsidP="008A5186">
            <w:pPr>
              <w:pStyle w:val="TableText"/>
              <w:jc w:val="center"/>
              <w:rPr>
                <w:lang w:eastAsia="en-NZ"/>
              </w:rPr>
            </w:pPr>
            <w:r w:rsidRPr="00E66263">
              <w:rPr>
                <w:lang w:eastAsia="en-NZ"/>
              </w:rPr>
              <w:t>587</w:t>
            </w:r>
          </w:p>
        </w:tc>
        <w:tc>
          <w:tcPr>
            <w:tcW w:w="1308" w:type="dxa"/>
            <w:shd w:val="clear" w:color="auto" w:fill="auto"/>
            <w:hideMark/>
          </w:tcPr>
          <w:p w14:paraId="041E2FE4" w14:textId="77777777" w:rsidR="003741ED" w:rsidRPr="00E66263" w:rsidRDefault="003741ED" w:rsidP="008A5186">
            <w:pPr>
              <w:pStyle w:val="TableText"/>
              <w:tabs>
                <w:tab w:val="decimal" w:pos="787"/>
              </w:tabs>
              <w:rPr>
                <w:lang w:eastAsia="en-NZ"/>
              </w:rPr>
            </w:pPr>
            <w:r w:rsidRPr="00E66263">
              <w:rPr>
                <w:lang w:eastAsia="en-NZ"/>
              </w:rPr>
              <w:t>10</w:t>
            </w:r>
            <w:r>
              <w:rPr>
                <w:lang w:eastAsia="en-NZ"/>
              </w:rPr>
              <w:t>,</w:t>
            </w:r>
            <w:r w:rsidRPr="00E66263">
              <w:rPr>
                <w:lang w:eastAsia="en-NZ"/>
              </w:rPr>
              <w:t>217</w:t>
            </w:r>
          </w:p>
        </w:tc>
      </w:tr>
      <w:tr w:rsidR="003741ED" w:rsidRPr="00E66263" w14:paraId="041E2FEB" w14:textId="77777777" w:rsidTr="008A5186">
        <w:trPr>
          <w:cantSplit/>
        </w:trPr>
        <w:tc>
          <w:tcPr>
            <w:tcW w:w="1008" w:type="dxa"/>
            <w:tcBorders>
              <w:right w:val="single" w:sz="4" w:space="0" w:color="A6A6A6" w:themeColor="background1" w:themeShade="A6"/>
            </w:tcBorders>
            <w:shd w:val="clear" w:color="auto" w:fill="auto"/>
            <w:hideMark/>
          </w:tcPr>
          <w:p w14:paraId="041E2FE6" w14:textId="77777777" w:rsidR="003741ED" w:rsidRPr="00E66263" w:rsidRDefault="003741ED" w:rsidP="008A5186">
            <w:pPr>
              <w:pStyle w:val="TableText"/>
              <w:jc w:val="center"/>
              <w:rPr>
                <w:lang w:eastAsia="en-NZ"/>
              </w:rPr>
            </w:pPr>
            <w:r w:rsidRPr="00E66263">
              <w:rPr>
                <w:lang w:eastAsia="en-NZ"/>
              </w:rPr>
              <w:t>2010</w:t>
            </w:r>
          </w:p>
        </w:tc>
        <w:tc>
          <w:tcPr>
            <w:tcW w:w="1307" w:type="dxa"/>
            <w:tcBorders>
              <w:left w:val="single" w:sz="4" w:space="0" w:color="A6A6A6" w:themeColor="background1" w:themeShade="A6"/>
            </w:tcBorders>
            <w:shd w:val="clear" w:color="auto" w:fill="auto"/>
            <w:hideMark/>
          </w:tcPr>
          <w:p w14:paraId="041E2FE7" w14:textId="77777777" w:rsidR="003741ED" w:rsidRPr="00E66263" w:rsidRDefault="003741ED" w:rsidP="008A5186">
            <w:pPr>
              <w:pStyle w:val="TableText"/>
              <w:jc w:val="center"/>
              <w:rPr>
                <w:lang w:eastAsia="en-NZ"/>
              </w:rPr>
            </w:pPr>
            <w:r w:rsidRPr="00E66263">
              <w:rPr>
                <w:lang w:eastAsia="en-NZ"/>
              </w:rPr>
              <w:t>56</w:t>
            </w:r>
          </w:p>
        </w:tc>
        <w:tc>
          <w:tcPr>
            <w:tcW w:w="1307" w:type="dxa"/>
            <w:tcBorders>
              <w:right w:val="single" w:sz="4" w:space="0" w:color="A6A6A6" w:themeColor="background1" w:themeShade="A6"/>
            </w:tcBorders>
            <w:shd w:val="clear" w:color="auto" w:fill="auto"/>
            <w:hideMark/>
          </w:tcPr>
          <w:p w14:paraId="041E2FE8" w14:textId="77777777" w:rsidR="003741ED" w:rsidRPr="00E66263" w:rsidRDefault="003741ED" w:rsidP="008A5186">
            <w:pPr>
              <w:pStyle w:val="TableText"/>
              <w:tabs>
                <w:tab w:val="decimal" w:pos="747"/>
              </w:tabs>
              <w:rPr>
                <w:lang w:eastAsia="en-NZ"/>
              </w:rPr>
            </w:pPr>
            <w:r w:rsidRPr="00E66263">
              <w:rPr>
                <w:lang w:eastAsia="en-NZ"/>
              </w:rPr>
              <w:t>235</w:t>
            </w:r>
          </w:p>
        </w:tc>
        <w:tc>
          <w:tcPr>
            <w:tcW w:w="1307" w:type="dxa"/>
            <w:tcBorders>
              <w:left w:val="single" w:sz="4" w:space="0" w:color="A6A6A6" w:themeColor="background1" w:themeShade="A6"/>
            </w:tcBorders>
            <w:shd w:val="clear" w:color="auto" w:fill="auto"/>
            <w:hideMark/>
          </w:tcPr>
          <w:p w14:paraId="041E2FE9" w14:textId="77777777" w:rsidR="003741ED" w:rsidRPr="00E66263" w:rsidRDefault="003741ED" w:rsidP="008A5186">
            <w:pPr>
              <w:pStyle w:val="TableText"/>
              <w:jc w:val="center"/>
              <w:rPr>
                <w:lang w:eastAsia="en-NZ"/>
              </w:rPr>
            </w:pPr>
            <w:r w:rsidRPr="00E66263">
              <w:rPr>
                <w:lang w:eastAsia="en-NZ"/>
              </w:rPr>
              <w:t>571</w:t>
            </w:r>
          </w:p>
        </w:tc>
        <w:tc>
          <w:tcPr>
            <w:tcW w:w="1308" w:type="dxa"/>
            <w:shd w:val="clear" w:color="auto" w:fill="auto"/>
            <w:hideMark/>
          </w:tcPr>
          <w:p w14:paraId="041E2FEA" w14:textId="77777777" w:rsidR="003741ED" w:rsidRPr="00E66263" w:rsidRDefault="003741ED" w:rsidP="008A5186">
            <w:pPr>
              <w:pStyle w:val="TableText"/>
              <w:tabs>
                <w:tab w:val="decimal" w:pos="787"/>
              </w:tabs>
              <w:rPr>
                <w:lang w:eastAsia="en-NZ"/>
              </w:rPr>
            </w:pPr>
            <w:r w:rsidRPr="00E66263">
              <w:rPr>
                <w:lang w:eastAsia="en-NZ"/>
              </w:rPr>
              <w:t>6</w:t>
            </w:r>
            <w:r>
              <w:rPr>
                <w:lang w:eastAsia="en-NZ"/>
              </w:rPr>
              <w:t>,</w:t>
            </w:r>
            <w:r w:rsidRPr="00E66263">
              <w:rPr>
                <w:lang w:eastAsia="en-NZ"/>
              </w:rPr>
              <w:t>153</w:t>
            </w:r>
          </w:p>
        </w:tc>
      </w:tr>
      <w:tr w:rsidR="003741ED" w:rsidRPr="00E66263" w14:paraId="041E2FF1" w14:textId="77777777" w:rsidTr="008A5186">
        <w:trPr>
          <w:cantSplit/>
        </w:trPr>
        <w:tc>
          <w:tcPr>
            <w:tcW w:w="1008" w:type="dxa"/>
            <w:tcBorders>
              <w:right w:val="single" w:sz="4" w:space="0" w:color="A6A6A6" w:themeColor="background1" w:themeShade="A6"/>
            </w:tcBorders>
            <w:shd w:val="clear" w:color="auto" w:fill="auto"/>
            <w:hideMark/>
          </w:tcPr>
          <w:p w14:paraId="041E2FEC" w14:textId="77777777" w:rsidR="003741ED" w:rsidRPr="00E66263" w:rsidRDefault="003741ED" w:rsidP="008A5186">
            <w:pPr>
              <w:pStyle w:val="TableText"/>
              <w:jc w:val="center"/>
              <w:rPr>
                <w:lang w:eastAsia="en-NZ"/>
              </w:rPr>
            </w:pPr>
            <w:r w:rsidRPr="00E66263">
              <w:rPr>
                <w:lang w:eastAsia="en-NZ"/>
              </w:rPr>
              <w:t>2011</w:t>
            </w:r>
          </w:p>
        </w:tc>
        <w:tc>
          <w:tcPr>
            <w:tcW w:w="1307" w:type="dxa"/>
            <w:tcBorders>
              <w:left w:val="single" w:sz="4" w:space="0" w:color="A6A6A6" w:themeColor="background1" w:themeShade="A6"/>
            </w:tcBorders>
            <w:shd w:val="clear" w:color="auto" w:fill="auto"/>
            <w:hideMark/>
          </w:tcPr>
          <w:p w14:paraId="041E2FED" w14:textId="77777777" w:rsidR="003741ED" w:rsidRPr="00E66263" w:rsidRDefault="003741ED" w:rsidP="008A5186">
            <w:pPr>
              <w:pStyle w:val="TableText"/>
              <w:jc w:val="center"/>
              <w:rPr>
                <w:lang w:eastAsia="en-NZ"/>
              </w:rPr>
            </w:pPr>
            <w:r w:rsidRPr="00E66263">
              <w:rPr>
                <w:lang w:eastAsia="en-NZ"/>
              </w:rPr>
              <w:t>45</w:t>
            </w:r>
          </w:p>
        </w:tc>
        <w:tc>
          <w:tcPr>
            <w:tcW w:w="1307" w:type="dxa"/>
            <w:tcBorders>
              <w:right w:val="single" w:sz="4" w:space="0" w:color="A6A6A6" w:themeColor="background1" w:themeShade="A6"/>
            </w:tcBorders>
            <w:shd w:val="clear" w:color="auto" w:fill="auto"/>
            <w:hideMark/>
          </w:tcPr>
          <w:p w14:paraId="041E2FEE" w14:textId="77777777" w:rsidR="003741ED" w:rsidRPr="00E66263" w:rsidRDefault="003741ED" w:rsidP="008A5186">
            <w:pPr>
              <w:pStyle w:val="TableText"/>
              <w:tabs>
                <w:tab w:val="decimal" w:pos="747"/>
              </w:tabs>
              <w:rPr>
                <w:lang w:eastAsia="en-NZ"/>
              </w:rPr>
            </w:pPr>
            <w:r w:rsidRPr="00E66263">
              <w:rPr>
                <w:lang w:eastAsia="en-NZ"/>
              </w:rPr>
              <w:t>141</w:t>
            </w:r>
          </w:p>
        </w:tc>
        <w:tc>
          <w:tcPr>
            <w:tcW w:w="1307" w:type="dxa"/>
            <w:tcBorders>
              <w:left w:val="single" w:sz="4" w:space="0" w:color="A6A6A6" w:themeColor="background1" w:themeShade="A6"/>
            </w:tcBorders>
            <w:shd w:val="clear" w:color="auto" w:fill="auto"/>
            <w:hideMark/>
          </w:tcPr>
          <w:p w14:paraId="041E2FEF" w14:textId="77777777" w:rsidR="003741ED" w:rsidRPr="00E66263" w:rsidRDefault="003741ED" w:rsidP="008A5186">
            <w:pPr>
              <w:pStyle w:val="TableText"/>
              <w:jc w:val="center"/>
              <w:rPr>
                <w:lang w:eastAsia="en-NZ"/>
              </w:rPr>
            </w:pPr>
            <w:r w:rsidRPr="00E66263">
              <w:rPr>
                <w:lang w:eastAsia="en-NZ"/>
              </w:rPr>
              <w:t>545</w:t>
            </w:r>
          </w:p>
        </w:tc>
        <w:tc>
          <w:tcPr>
            <w:tcW w:w="1308" w:type="dxa"/>
            <w:shd w:val="clear" w:color="auto" w:fill="auto"/>
            <w:hideMark/>
          </w:tcPr>
          <w:p w14:paraId="041E2FF0" w14:textId="77777777" w:rsidR="003741ED" w:rsidRPr="00E66263" w:rsidRDefault="003741ED" w:rsidP="008A5186">
            <w:pPr>
              <w:pStyle w:val="TableText"/>
              <w:tabs>
                <w:tab w:val="decimal" w:pos="787"/>
              </w:tabs>
              <w:rPr>
                <w:lang w:eastAsia="en-NZ"/>
              </w:rPr>
            </w:pPr>
            <w:r w:rsidRPr="00E66263">
              <w:rPr>
                <w:lang w:eastAsia="en-NZ"/>
              </w:rPr>
              <w:t>6</w:t>
            </w:r>
            <w:r>
              <w:rPr>
                <w:lang w:eastAsia="en-NZ"/>
              </w:rPr>
              <w:t>,</w:t>
            </w:r>
            <w:r w:rsidRPr="00E66263">
              <w:rPr>
                <w:lang w:eastAsia="en-NZ"/>
              </w:rPr>
              <w:t>715</w:t>
            </w:r>
          </w:p>
        </w:tc>
      </w:tr>
      <w:tr w:rsidR="003741ED" w:rsidRPr="00E66263" w14:paraId="041E2FF7" w14:textId="77777777" w:rsidTr="008A5186">
        <w:trPr>
          <w:cantSplit/>
        </w:trPr>
        <w:tc>
          <w:tcPr>
            <w:tcW w:w="1008" w:type="dxa"/>
            <w:tcBorders>
              <w:right w:val="single" w:sz="4" w:space="0" w:color="A6A6A6" w:themeColor="background1" w:themeShade="A6"/>
            </w:tcBorders>
            <w:shd w:val="clear" w:color="auto" w:fill="auto"/>
            <w:hideMark/>
          </w:tcPr>
          <w:p w14:paraId="041E2FF2" w14:textId="77777777" w:rsidR="003741ED" w:rsidRPr="00E66263" w:rsidRDefault="003741ED" w:rsidP="008A5186">
            <w:pPr>
              <w:pStyle w:val="TableText"/>
              <w:jc w:val="center"/>
              <w:rPr>
                <w:lang w:eastAsia="en-NZ"/>
              </w:rPr>
            </w:pPr>
            <w:r w:rsidRPr="00E66263">
              <w:rPr>
                <w:lang w:eastAsia="en-NZ"/>
              </w:rPr>
              <w:t>2012</w:t>
            </w:r>
          </w:p>
        </w:tc>
        <w:tc>
          <w:tcPr>
            <w:tcW w:w="1307" w:type="dxa"/>
            <w:tcBorders>
              <w:left w:val="single" w:sz="4" w:space="0" w:color="A6A6A6" w:themeColor="background1" w:themeShade="A6"/>
            </w:tcBorders>
            <w:shd w:val="clear" w:color="auto" w:fill="auto"/>
            <w:hideMark/>
          </w:tcPr>
          <w:p w14:paraId="041E2FF3" w14:textId="77777777" w:rsidR="003741ED" w:rsidRPr="00E66263" w:rsidRDefault="003741ED" w:rsidP="008A5186">
            <w:pPr>
              <w:pStyle w:val="TableText"/>
              <w:jc w:val="center"/>
              <w:rPr>
                <w:lang w:eastAsia="en-NZ"/>
              </w:rPr>
            </w:pPr>
            <w:r w:rsidRPr="00E66263">
              <w:rPr>
                <w:lang w:eastAsia="en-NZ"/>
              </w:rPr>
              <w:t>51</w:t>
            </w:r>
          </w:p>
        </w:tc>
        <w:tc>
          <w:tcPr>
            <w:tcW w:w="1307" w:type="dxa"/>
            <w:tcBorders>
              <w:right w:val="single" w:sz="4" w:space="0" w:color="A6A6A6" w:themeColor="background1" w:themeShade="A6"/>
            </w:tcBorders>
            <w:shd w:val="clear" w:color="auto" w:fill="auto"/>
            <w:hideMark/>
          </w:tcPr>
          <w:p w14:paraId="041E2FF4" w14:textId="77777777" w:rsidR="003741ED" w:rsidRPr="00E66263" w:rsidRDefault="003741ED" w:rsidP="008A5186">
            <w:pPr>
              <w:pStyle w:val="TableText"/>
              <w:tabs>
                <w:tab w:val="decimal" w:pos="747"/>
              </w:tabs>
              <w:rPr>
                <w:lang w:eastAsia="en-NZ"/>
              </w:rPr>
            </w:pPr>
            <w:r w:rsidRPr="00E66263">
              <w:rPr>
                <w:lang w:eastAsia="en-NZ"/>
              </w:rPr>
              <w:t>379</w:t>
            </w:r>
          </w:p>
        </w:tc>
        <w:tc>
          <w:tcPr>
            <w:tcW w:w="1307" w:type="dxa"/>
            <w:tcBorders>
              <w:left w:val="single" w:sz="4" w:space="0" w:color="A6A6A6" w:themeColor="background1" w:themeShade="A6"/>
            </w:tcBorders>
            <w:shd w:val="clear" w:color="auto" w:fill="auto"/>
            <w:hideMark/>
          </w:tcPr>
          <w:p w14:paraId="041E2FF5" w14:textId="77777777" w:rsidR="003741ED" w:rsidRPr="00E66263" w:rsidRDefault="003741ED" w:rsidP="008A5186">
            <w:pPr>
              <w:pStyle w:val="TableText"/>
              <w:jc w:val="center"/>
              <w:rPr>
                <w:lang w:eastAsia="en-NZ"/>
              </w:rPr>
            </w:pPr>
            <w:r w:rsidRPr="00E66263">
              <w:rPr>
                <w:lang w:eastAsia="en-NZ"/>
              </w:rPr>
              <w:t>659</w:t>
            </w:r>
          </w:p>
        </w:tc>
        <w:tc>
          <w:tcPr>
            <w:tcW w:w="1308" w:type="dxa"/>
            <w:shd w:val="clear" w:color="auto" w:fill="auto"/>
            <w:hideMark/>
          </w:tcPr>
          <w:p w14:paraId="041E2FF6" w14:textId="77777777" w:rsidR="003741ED" w:rsidRPr="00E66263" w:rsidRDefault="003741ED" w:rsidP="008A5186">
            <w:pPr>
              <w:pStyle w:val="TableText"/>
              <w:tabs>
                <w:tab w:val="decimal" w:pos="787"/>
              </w:tabs>
              <w:rPr>
                <w:lang w:eastAsia="en-NZ"/>
              </w:rPr>
            </w:pPr>
            <w:r w:rsidRPr="00E66263">
              <w:rPr>
                <w:lang w:eastAsia="en-NZ"/>
              </w:rPr>
              <w:t>9</w:t>
            </w:r>
            <w:r>
              <w:rPr>
                <w:lang w:eastAsia="en-NZ"/>
              </w:rPr>
              <w:t>,</w:t>
            </w:r>
            <w:r w:rsidRPr="00E66263">
              <w:rPr>
                <w:lang w:eastAsia="en-NZ"/>
              </w:rPr>
              <w:t>489</w:t>
            </w:r>
          </w:p>
        </w:tc>
      </w:tr>
      <w:tr w:rsidR="003741ED" w:rsidRPr="00E66263" w14:paraId="041E2FFD" w14:textId="77777777" w:rsidTr="008A5186">
        <w:trPr>
          <w:cantSplit/>
        </w:trPr>
        <w:tc>
          <w:tcPr>
            <w:tcW w:w="1008" w:type="dxa"/>
            <w:tcBorders>
              <w:right w:val="single" w:sz="4" w:space="0" w:color="A6A6A6" w:themeColor="background1" w:themeShade="A6"/>
            </w:tcBorders>
            <w:shd w:val="clear" w:color="auto" w:fill="auto"/>
            <w:hideMark/>
          </w:tcPr>
          <w:p w14:paraId="041E2FF8" w14:textId="77777777" w:rsidR="003741ED" w:rsidRPr="00E66263" w:rsidRDefault="003741ED" w:rsidP="008A5186">
            <w:pPr>
              <w:pStyle w:val="TableText"/>
              <w:jc w:val="center"/>
              <w:rPr>
                <w:lang w:eastAsia="en-NZ"/>
              </w:rPr>
            </w:pPr>
            <w:r w:rsidRPr="00E66263">
              <w:rPr>
                <w:lang w:eastAsia="en-NZ"/>
              </w:rPr>
              <w:t>2013</w:t>
            </w:r>
          </w:p>
        </w:tc>
        <w:tc>
          <w:tcPr>
            <w:tcW w:w="1307" w:type="dxa"/>
            <w:tcBorders>
              <w:left w:val="single" w:sz="4" w:space="0" w:color="A6A6A6" w:themeColor="background1" w:themeShade="A6"/>
            </w:tcBorders>
            <w:shd w:val="clear" w:color="auto" w:fill="auto"/>
            <w:hideMark/>
          </w:tcPr>
          <w:p w14:paraId="041E2FF9" w14:textId="77777777" w:rsidR="003741ED" w:rsidRPr="00E66263" w:rsidRDefault="003741ED" w:rsidP="008A5186">
            <w:pPr>
              <w:pStyle w:val="TableText"/>
              <w:jc w:val="center"/>
              <w:rPr>
                <w:lang w:eastAsia="en-NZ"/>
              </w:rPr>
            </w:pPr>
            <w:r w:rsidRPr="00E66263">
              <w:rPr>
                <w:lang w:eastAsia="en-NZ"/>
              </w:rPr>
              <w:t>62</w:t>
            </w:r>
          </w:p>
        </w:tc>
        <w:tc>
          <w:tcPr>
            <w:tcW w:w="1307" w:type="dxa"/>
            <w:tcBorders>
              <w:right w:val="single" w:sz="4" w:space="0" w:color="A6A6A6" w:themeColor="background1" w:themeShade="A6"/>
            </w:tcBorders>
            <w:shd w:val="clear" w:color="auto" w:fill="auto"/>
            <w:hideMark/>
          </w:tcPr>
          <w:p w14:paraId="041E2FFA" w14:textId="77777777" w:rsidR="003741ED" w:rsidRPr="00E66263" w:rsidRDefault="003741ED" w:rsidP="008A5186">
            <w:pPr>
              <w:pStyle w:val="TableText"/>
              <w:tabs>
                <w:tab w:val="decimal" w:pos="747"/>
              </w:tabs>
              <w:rPr>
                <w:lang w:eastAsia="en-NZ"/>
              </w:rPr>
            </w:pPr>
            <w:r w:rsidRPr="00E66263">
              <w:rPr>
                <w:lang w:eastAsia="en-NZ"/>
              </w:rPr>
              <w:t>227</w:t>
            </w:r>
          </w:p>
        </w:tc>
        <w:tc>
          <w:tcPr>
            <w:tcW w:w="1307" w:type="dxa"/>
            <w:tcBorders>
              <w:left w:val="single" w:sz="4" w:space="0" w:color="A6A6A6" w:themeColor="background1" w:themeShade="A6"/>
            </w:tcBorders>
            <w:shd w:val="clear" w:color="auto" w:fill="auto"/>
            <w:hideMark/>
          </w:tcPr>
          <w:p w14:paraId="041E2FFB" w14:textId="77777777" w:rsidR="003741ED" w:rsidRPr="00E66263" w:rsidRDefault="003741ED" w:rsidP="008A5186">
            <w:pPr>
              <w:pStyle w:val="TableText"/>
              <w:jc w:val="center"/>
              <w:rPr>
                <w:lang w:eastAsia="en-NZ"/>
              </w:rPr>
            </w:pPr>
            <w:r w:rsidRPr="00E66263">
              <w:rPr>
                <w:lang w:eastAsia="en-NZ"/>
              </w:rPr>
              <w:t>616</w:t>
            </w:r>
          </w:p>
        </w:tc>
        <w:tc>
          <w:tcPr>
            <w:tcW w:w="1308" w:type="dxa"/>
            <w:shd w:val="clear" w:color="auto" w:fill="auto"/>
            <w:hideMark/>
          </w:tcPr>
          <w:p w14:paraId="041E2FFC" w14:textId="77777777" w:rsidR="003741ED" w:rsidRPr="00E66263" w:rsidRDefault="003741ED" w:rsidP="008A5186">
            <w:pPr>
              <w:pStyle w:val="TableText"/>
              <w:tabs>
                <w:tab w:val="decimal" w:pos="787"/>
              </w:tabs>
              <w:rPr>
                <w:lang w:eastAsia="en-NZ"/>
              </w:rPr>
            </w:pPr>
            <w:r w:rsidRPr="00E66263">
              <w:rPr>
                <w:lang w:eastAsia="en-NZ"/>
              </w:rPr>
              <w:t>6</w:t>
            </w:r>
            <w:r>
              <w:rPr>
                <w:lang w:eastAsia="en-NZ"/>
              </w:rPr>
              <w:t>,</w:t>
            </w:r>
            <w:r w:rsidRPr="00E66263">
              <w:rPr>
                <w:lang w:eastAsia="en-NZ"/>
              </w:rPr>
              <w:t>950</w:t>
            </w:r>
          </w:p>
        </w:tc>
      </w:tr>
    </w:tbl>
    <w:p w14:paraId="041E2FFE" w14:textId="77777777" w:rsidR="003741ED" w:rsidRPr="00E66263" w:rsidRDefault="003741ED" w:rsidP="008A5186">
      <w:pPr>
        <w:pStyle w:val="Note"/>
      </w:pPr>
      <w:r w:rsidRPr="00E66263">
        <w:t>Data extracted from EpiSurv on 20 June 2014</w:t>
      </w:r>
      <w:r>
        <w:t>.</w:t>
      </w:r>
    </w:p>
    <w:p w14:paraId="041E2FFF" w14:textId="77777777" w:rsidR="003741ED" w:rsidRPr="00E66263" w:rsidRDefault="003741ED" w:rsidP="008A5186">
      <w:pPr>
        <w:pStyle w:val="Note"/>
      </w:pPr>
      <w:r w:rsidRPr="00E66263">
        <w:rPr>
          <w:vertAlign w:val="superscript"/>
        </w:rPr>
        <w:t>1</w:t>
      </w:r>
      <w:r>
        <w:tab/>
      </w:r>
      <w:r w:rsidRPr="00E66263">
        <w:t>Includes outbreaks where waterborne transmission was either the primary or secondary mode of transmission reported.</w:t>
      </w:r>
    </w:p>
    <w:p w14:paraId="041E3000" w14:textId="77777777" w:rsidR="003741ED" w:rsidRPr="00E66263" w:rsidRDefault="003741ED" w:rsidP="008A5186"/>
    <w:p w14:paraId="041E3001" w14:textId="77777777" w:rsidR="003741ED" w:rsidRDefault="003741ED" w:rsidP="008A5186">
      <w:r w:rsidRPr="00E66263">
        <w:t>Table 1.3 lists documented outbreaks in New Zealand where waterborne transmission has been implicated as a possible source of infection, from 2005 to 2013. This is an updated version of Table 1 from Ball (2007).</w:t>
      </w:r>
    </w:p>
    <w:p w14:paraId="041E3002" w14:textId="77777777" w:rsidR="003741ED" w:rsidRPr="003F58AC" w:rsidRDefault="003741ED" w:rsidP="008A5186"/>
    <w:p w14:paraId="041E3003" w14:textId="77777777" w:rsidR="003741ED" w:rsidRDefault="003741ED" w:rsidP="008A5186">
      <w:r w:rsidRPr="00BC3D45">
        <w:t>Note</w:t>
      </w:r>
      <w:r>
        <w:t xml:space="preserve"> that</w:t>
      </w:r>
      <w:r w:rsidRPr="00B67E3B">
        <w:t xml:space="preserve"> </w:t>
      </w:r>
      <w:r>
        <w:t>T</w:t>
      </w:r>
      <w:r w:rsidRPr="00BC3D45">
        <w:t xml:space="preserve">able </w:t>
      </w:r>
      <w:r>
        <w:t xml:space="preserve">1.3 </w:t>
      </w:r>
      <w:r w:rsidRPr="00BC3D45">
        <w:t>does not include all waterborne outbreaks that have occurred in New Zealand.</w:t>
      </w:r>
    </w:p>
    <w:p w14:paraId="041E3004" w14:textId="77777777" w:rsidR="003741ED" w:rsidRPr="00B67E3B" w:rsidRDefault="003741ED" w:rsidP="008A5186"/>
    <w:p w14:paraId="041E3005" w14:textId="77777777" w:rsidR="003741ED" w:rsidRPr="00BC3D45" w:rsidRDefault="003741ED" w:rsidP="008A5186">
      <w:r>
        <w:t>Apart from the Havelock North Inquiry Report, t</w:t>
      </w:r>
      <w:r w:rsidRPr="00BC3D45">
        <w:t>he following search methods were used:</w:t>
      </w:r>
    </w:p>
    <w:p w14:paraId="041E3006" w14:textId="77777777" w:rsidR="003741ED" w:rsidRPr="00BC3D45" w:rsidRDefault="003741ED" w:rsidP="007C7205">
      <w:pPr>
        <w:spacing w:before="90"/>
        <w:ind w:left="567" w:hanging="567"/>
      </w:pPr>
      <w:r>
        <w:t>1</w:t>
      </w:r>
      <w:r>
        <w:tab/>
      </w:r>
      <w:r w:rsidRPr="00BC3D45">
        <w:t xml:space="preserve">Literature search using search terms </w:t>
      </w:r>
      <w:r>
        <w:t>“</w:t>
      </w:r>
      <w:r w:rsidRPr="00BC3D45">
        <w:t>New Zealand</w:t>
      </w:r>
      <w:r>
        <w:t>”</w:t>
      </w:r>
      <w:r w:rsidRPr="00BC3D45">
        <w:t xml:space="preserve"> AND outbreak* AND water* In: Index New Zealand (INNZ), Proquest Public Health, PubMed, ScienceDirect, Scopus, Web of Science from 2006–2014</w:t>
      </w:r>
    </w:p>
    <w:p w14:paraId="041E3007" w14:textId="77777777" w:rsidR="003741ED" w:rsidRPr="00BC3D45" w:rsidRDefault="003741ED" w:rsidP="007C7205">
      <w:pPr>
        <w:spacing w:before="90"/>
        <w:ind w:left="567" w:hanging="567"/>
      </w:pPr>
      <w:r>
        <w:t>2</w:t>
      </w:r>
      <w:r>
        <w:tab/>
      </w:r>
      <w:r w:rsidRPr="00BC3D45">
        <w:t>Search of New Zealand Public Health Surveillance Reports from 2004–June 2014</w:t>
      </w:r>
      <w:r>
        <w:t>.</w:t>
      </w:r>
    </w:p>
    <w:p w14:paraId="041E3008" w14:textId="77777777" w:rsidR="003741ED" w:rsidRDefault="003741ED" w:rsidP="007C7205"/>
    <w:p w14:paraId="041E3009" w14:textId="77777777" w:rsidR="003741ED" w:rsidRPr="00BC3D45" w:rsidRDefault="003741ED" w:rsidP="007C7205">
      <w:r w:rsidRPr="00BC3D45">
        <w:t>Search of EpiSurv from 2005–2014 for outbreaks that reported 10 or more cases and were not household/family related.</w:t>
      </w:r>
    </w:p>
    <w:p w14:paraId="041E300A" w14:textId="77777777" w:rsidR="003741ED" w:rsidRPr="00B67E3B" w:rsidRDefault="003741ED" w:rsidP="007C7205"/>
    <w:p w14:paraId="041E300B" w14:textId="77777777" w:rsidR="007C7205" w:rsidRDefault="007C7205" w:rsidP="007C7205">
      <w:pPr>
        <w:pStyle w:val="Table"/>
        <w:sectPr w:rsidR="007C7205" w:rsidSect="00AD73CB">
          <w:footerReference w:type="default" r:id="rId15"/>
          <w:pgSz w:w="11907" w:h="16834" w:code="9"/>
          <w:pgMar w:top="1418" w:right="1701" w:bottom="1134" w:left="1843" w:header="284" w:footer="425" w:gutter="284"/>
          <w:cols w:space="720"/>
          <w:docGrid w:linePitch="286"/>
        </w:sectPr>
      </w:pPr>
      <w:bookmarkStart w:id="24" w:name="_Toc2333598"/>
    </w:p>
    <w:p w14:paraId="041E300C" w14:textId="77777777" w:rsidR="003741ED" w:rsidRPr="00E66263" w:rsidRDefault="003741ED" w:rsidP="007C7205">
      <w:pPr>
        <w:pStyle w:val="Table"/>
      </w:pPr>
      <w:bookmarkStart w:id="25" w:name="_Toc8979356"/>
      <w:r w:rsidRPr="00E66263">
        <w:t>Table 1.3</w:t>
      </w:r>
      <w:r>
        <w:t>:</w:t>
      </w:r>
      <w:r w:rsidRPr="00E66263">
        <w:t xml:space="preserve"> Documented waterborne outbreaks in New Zealand, with probable links to drinking water, 2005–201</w:t>
      </w:r>
      <w:r>
        <w:t>6</w:t>
      </w:r>
      <w:bookmarkEnd w:id="24"/>
      <w:bookmarkEnd w:id="25"/>
    </w:p>
    <w:tbl>
      <w:tblPr>
        <w:tblW w:w="14601" w:type="dxa"/>
        <w:tblInd w:w="57" w:type="dxa"/>
        <w:tblLayout w:type="fixed"/>
        <w:tblCellMar>
          <w:left w:w="57" w:type="dxa"/>
          <w:right w:w="57" w:type="dxa"/>
        </w:tblCellMar>
        <w:tblLook w:val="04A0" w:firstRow="1" w:lastRow="0" w:firstColumn="1" w:lastColumn="0" w:noHBand="0" w:noVBand="1"/>
      </w:tblPr>
      <w:tblGrid>
        <w:gridCol w:w="709"/>
        <w:gridCol w:w="2693"/>
        <w:gridCol w:w="1985"/>
        <w:gridCol w:w="992"/>
        <w:gridCol w:w="851"/>
        <w:gridCol w:w="1701"/>
        <w:gridCol w:w="5670"/>
      </w:tblGrid>
      <w:tr w:rsidR="003741ED" w:rsidRPr="00BE7C7A" w14:paraId="041E3013" w14:textId="77777777" w:rsidTr="00BE7C7A">
        <w:trPr>
          <w:cantSplit/>
          <w:tblHeader/>
        </w:trPr>
        <w:tc>
          <w:tcPr>
            <w:tcW w:w="709" w:type="dxa"/>
            <w:vMerge w:val="restart"/>
            <w:tcBorders>
              <w:left w:val="nil"/>
              <w:right w:val="single" w:sz="4" w:space="0" w:color="A6A6A6" w:themeColor="background1" w:themeShade="A6"/>
            </w:tcBorders>
            <w:shd w:val="clear" w:color="auto" w:fill="D9D9D9" w:themeFill="background1" w:themeFillShade="D9"/>
            <w:noWrap/>
            <w:hideMark/>
          </w:tcPr>
          <w:p w14:paraId="041E300D" w14:textId="77777777" w:rsidR="003741ED" w:rsidRPr="00BE7C7A" w:rsidRDefault="003741ED" w:rsidP="00BE7C7A">
            <w:pPr>
              <w:pStyle w:val="TableText"/>
              <w:rPr>
                <w:b/>
                <w:lang w:eastAsia="en-NZ"/>
              </w:rPr>
            </w:pPr>
            <w:r w:rsidRPr="00BE7C7A">
              <w:rPr>
                <w:b/>
                <w:lang w:eastAsia="en-NZ"/>
              </w:rPr>
              <w:t>Year</w:t>
            </w:r>
          </w:p>
        </w:tc>
        <w:tc>
          <w:tcPr>
            <w:tcW w:w="2693" w:type="dxa"/>
            <w:vMerge w:val="restart"/>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300E" w14:textId="77777777" w:rsidR="003741ED" w:rsidRPr="00BE7C7A" w:rsidRDefault="003741ED" w:rsidP="00BE7C7A">
            <w:pPr>
              <w:pStyle w:val="TableText"/>
              <w:rPr>
                <w:b/>
                <w:lang w:eastAsia="en-NZ"/>
              </w:rPr>
            </w:pPr>
            <w:r w:rsidRPr="00BE7C7A">
              <w:rPr>
                <w:b/>
                <w:lang w:eastAsia="en-NZ"/>
              </w:rPr>
              <w:t>Incident</w:t>
            </w:r>
          </w:p>
        </w:tc>
        <w:tc>
          <w:tcPr>
            <w:tcW w:w="1985" w:type="dxa"/>
            <w:vMerge w:val="restart"/>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300F" w14:textId="77777777" w:rsidR="003741ED" w:rsidRPr="00BE7C7A" w:rsidRDefault="003741ED" w:rsidP="00BE7C7A">
            <w:pPr>
              <w:pStyle w:val="TableText"/>
              <w:rPr>
                <w:b/>
                <w:lang w:eastAsia="en-NZ"/>
              </w:rPr>
            </w:pPr>
            <w:r w:rsidRPr="00BE7C7A">
              <w:rPr>
                <w:b/>
                <w:lang w:eastAsia="en-NZ"/>
              </w:rPr>
              <w:t>Causal agent</w:t>
            </w:r>
          </w:p>
        </w:tc>
        <w:tc>
          <w:tcPr>
            <w:tcW w:w="1843"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3010" w14:textId="77777777" w:rsidR="003741ED" w:rsidRPr="00BE7C7A" w:rsidRDefault="003741ED" w:rsidP="00BE7C7A">
            <w:pPr>
              <w:pStyle w:val="TableText"/>
              <w:spacing w:after="0"/>
              <w:jc w:val="center"/>
              <w:rPr>
                <w:b/>
                <w:lang w:eastAsia="en-NZ"/>
              </w:rPr>
            </w:pPr>
            <w:r w:rsidRPr="00BE7C7A">
              <w:rPr>
                <w:b/>
                <w:lang w:eastAsia="en-NZ"/>
              </w:rPr>
              <w:t>Cases</w:t>
            </w:r>
          </w:p>
        </w:tc>
        <w:tc>
          <w:tcPr>
            <w:tcW w:w="1701" w:type="dxa"/>
            <w:vMerge w:val="restart"/>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3011" w14:textId="77777777" w:rsidR="003741ED" w:rsidRPr="00BE7C7A" w:rsidRDefault="003741ED" w:rsidP="00BE7C7A">
            <w:pPr>
              <w:pStyle w:val="TableText"/>
              <w:rPr>
                <w:b/>
                <w:lang w:eastAsia="en-NZ"/>
              </w:rPr>
            </w:pPr>
            <w:r w:rsidRPr="00BE7C7A">
              <w:rPr>
                <w:b/>
                <w:lang w:eastAsia="en-NZ"/>
              </w:rPr>
              <w:t>Source</w:t>
            </w:r>
          </w:p>
        </w:tc>
        <w:tc>
          <w:tcPr>
            <w:tcW w:w="5670" w:type="dxa"/>
            <w:vMerge w:val="restart"/>
            <w:tcBorders>
              <w:left w:val="single" w:sz="4" w:space="0" w:color="A6A6A6" w:themeColor="background1" w:themeShade="A6"/>
              <w:right w:val="nil"/>
            </w:tcBorders>
            <w:shd w:val="clear" w:color="auto" w:fill="D9D9D9" w:themeFill="background1" w:themeFillShade="D9"/>
            <w:noWrap/>
            <w:hideMark/>
          </w:tcPr>
          <w:p w14:paraId="041E3012" w14:textId="77777777" w:rsidR="003741ED" w:rsidRPr="00BE7C7A" w:rsidRDefault="003741ED" w:rsidP="00BE7C7A">
            <w:pPr>
              <w:pStyle w:val="TableText"/>
              <w:rPr>
                <w:b/>
                <w:lang w:eastAsia="en-NZ"/>
              </w:rPr>
            </w:pPr>
            <w:r w:rsidRPr="00BE7C7A">
              <w:rPr>
                <w:b/>
                <w:lang w:eastAsia="en-NZ"/>
              </w:rPr>
              <w:t>Reference</w:t>
            </w:r>
          </w:p>
        </w:tc>
      </w:tr>
      <w:tr w:rsidR="003741ED" w:rsidRPr="00BE7C7A" w14:paraId="041E301B" w14:textId="77777777" w:rsidTr="00BE7C7A">
        <w:trPr>
          <w:cantSplit/>
          <w:tblHeader/>
        </w:trPr>
        <w:tc>
          <w:tcPr>
            <w:tcW w:w="709" w:type="dxa"/>
            <w:vMerge/>
            <w:tcBorders>
              <w:left w:val="nil"/>
              <w:right w:val="single" w:sz="4" w:space="0" w:color="A6A6A6" w:themeColor="background1" w:themeShade="A6"/>
            </w:tcBorders>
            <w:shd w:val="clear" w:color="auto" w:fill="D9D9D9" w:themeFill="background1" w:themeFillShade="D9"/>
            <w:noWrap/>
            <w:hideMark/>
          </w:tcPr>
          <w:p w14:paraId="041E3014" w14:textId="77777777" w:rsidR="003741ED" w:rsidRPr="00BE7C7A" w:rsidRDefault="003741ED" w:rsidP="00BE7C7A">
            <w:pPr>
              <w:pStyle w:val="TableText"/>
              <w:rPr>
                <w:b/>
                <w:lang w:eastAsia="en-NZ"/>
              </w:rPr>
            </w:pPr>
          </w:p>
        </w:tc>
        <w:tc>
          <w:tcPr>
            <w:tcW w:w="2693" w:type="dxa"/>
            <w:vMerge/>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3015" w14:textId="77777777" w:rsidR="003741ED" w:rsidRPr="00BE7C7A" w:rsidRDefault="003741ED" w:rsidP="00BE7C7A">
            <w:pPr>
              <w:pStyle w:val="TableText"/>
              <w:rPr>
                <w:b/>
                <w:lang w:eastAsia="en-NZ"/>
              </w:rPr>
            </w:pPr>
          </w:p>
        </w:tc>
        <w:tc>
          <w:tcPr>
            <w:tcW w:w="1985" w:type="dxa"/>
            <w:vMerge/>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3016" w14:textId="77777777" w:rsidR="003741ED" w:rsidRPr="00BE7C7A" w:rsidRDefault="003741ED" w:rsidP="00BE7C7A">
            <w:pPr>
              <w:pStyle w:val="TableText"/>
              <w:rPr>
                <w:b/>
                <w:lang w:eastAsia="en-NZ"/>
              </w:rPr>
            </w:pPr>
          </w:p>
        </w:tc>
        <w:tc>
          <w:tcPr>
            <w:tcW w:w="992" w:type="dxa"/>
            <w:tcBorders>
              <w:left w:val="single" w:sz="4" w:space="0" w:color="A6A6A6" w:themeColor="background1" w:themeShade="A6"/>
              <w:right w:val="nil"/>
            </w:tcBorders>
            <w:shd w:val="clear" w:color="auto" w:fill="D9D9D9" w:themeFill="background1" w:themeFillShade="D9"/>
            <w:noWrap/>
            <w:hideMark/>
          </w:tcPr>
          <w:p w14:paraId="041E3017" w14:textId="77777777" w:rsidR="003741ED" w:rsidRPr="00BE7C7A" w:rsidRDefault="00BE7C7A" w:rsidP="00BE7C7A">
            <w:pPr>
              <w:pStyle w:val="TableText"/>
              <w:spacing w:before="0"/>
              <w:jc w:val="center"/>
              <w:rPr>
                <w:b/>
                <w:lang w:eastAsia="en-NZ"/>
              </w:rPr>
            </w:pPr>
            <w:r>
              <w:rPr>
                <w:b/>
                <w:lang w:eastAsia="en-NZ"/>
              </w:rPr>
              <w:t>C</w:t>
            </w:r>
            <w:r w:rsidR="003741ED" w:rsidRPr="00BE7C7A">
              <w:rPr>
                <w:b/>
                <w:lang w:eastAsia="en-NZ"/>
              </w:rPr>
              <w:t>onfirmed</w:t>
            </w:r>
          </w:p>
        </w:tc>
        <w:tc>
          <w:tcPr>
            <w:tcW w:w="851" w:type="dxa"/>
            <w:tcBorders>
              <w:left w:val="nil"/>
              <w:right w:val="single" w:sz="4" w:space="0" w:color="A6A6A6" w:themeColor="background1" w:themeShade="A6"/>
            </w:tcBorders>
            <w:shd w:val="clear" w:color="auto" w:fill="D9D9D9" w:themeFill="background1" w:themeFillShade="D9"/>
            <w:noWrap/>
            <w:hideMark/>
          </w:tcPr>
          <w:p w14:paraId="041E3018" w14:textId="77777777" w:rsidR="003741ED" w:rsidRPr="00BE7C7A" w:rsidRDefault="003741ED" w:rsidP="00BE7C7A">
            <w:pPr>
              <w:pStyle w:val="TableText"/>
              <w:spacing w:before="0"/>
              <w:jc w:val="center"/>
              <w:rPr>
                <w:b/>
                <w:lang w:eastAsia="en-NZ"/>
              </w:rPr>
            </w:pPr>
            <w:r w:rsidRPr="00BE7C7A">
              <w:rPr>
                <w:b/>
                <w:lang w:eastAsia="en-NZ"/>
              </w:rPr>
              <w:t>Probable</w:t>
            </w:r>
          </w:p>
        </w:tc>
        <w:tc>
          <w:tcPr>
            <w:tcW w:w="1701" w:type="dxa"/>
            <w:vMerge/>
            <w:tcBorders>
              <w:left w:val="single" w:sz="4" w:space="0" w:color="A6A6A6" w:themeColor="background1" w:themeShade="A6"/>
              <w:right w:val="single" w:sz="4" w:space="0" w:color="A6A6A6" w:themeColor="background1" w:themeShade="A6"/>
            </w:tcBorders>
            <w:shd w:val="clear" w:color="auto" w:fill="D9D9D9" w:themeFill="background1" w:themeFillShade="D9"/>
            <w:noWrap/>
            <w:hideMark/>
          </w:tcPr>
          <w:p w14:paraId="041E3019" w14:textId="77777777" w:rsidR="003741ED" w:rsidRPr="00BE7C7A" w:rsidRDefault="003741ED" w:rsidP="00BE7C7A">
            <w:pPr>
              <w:pStyle w:val="TableText"/>
              <w:rPr>
                <w:b/>
                <w:lang w:eastAsia="en-NZ"/>
              </w:rPr>
            </w:pPr>
          </w:p>
        </w:tc>
        <w:tc>
          <w:tcPr>
            <w:tcW w:w="5670" w:type="dxa"/>
            <w:vMerge/>
            <w:tcBorders>
              <w:left w:val="single" w:sz="4" w:space="0" w:color="A6A6A6" w:themeColor="background1" w:themeShade="A6"/>
              <w:right w:val="nil"/>
            </w:tcBorders>
            <w:shd w:val="clear" w:color="auto" w:fill="D9D9D9" w:themeFill="background1" w:themeFillShade="D9"/>
            <w:noWrap/>
            <w:hideMark/>
          </w:tcPr>
          <w:p w14:paraId="041E301A" w14:textId="77777777" w:rsidR="003741ED" w:rsidRPr="00BE7C7A" w:rsidRDefault="003741ED" w:rsidP="00BE7C7A">
            <w:pPr>
              <w:pStyle w:val="TableText"/>
              <w:rPr>
                <w:b/>
                <w:lang w:eastAsia="en-NZ"/>
              </w:rPr>
            </w:pPr>
          </w:p>
        </w:tc>
      </w:tr>
      <w:tr w:rsidR="003741ED" w:rsidRPr="00E66263" w14:paraId="041E3023" w14:textId="77777777" w:rsidTr="00BE7C7A">
        <w:trPr>
          <w:cantSplit/>
        </w:trPr>
        <w:tc>
          <w:tcPr>
            <w:tcW w:w="709" w:type="dxa"/>
            <w:tcBorders>
              <w:left w:val="nil"/>
              <w:bottom w:val="single" w:sz="4" w:space="0" w:color="A6A6A6" w:themeColor="background1" w:themeShade="A6"/>
              <w:right w:val="single" w:sz="4" w:space="0" w:color="A6A6A6" w:themeColor="background1" w:themeShade="A6"/>
            </w:tcBorders>
            <w:shd w:val="clear" w:color="auto" w:fill="auto"/>
            <w:noWrap/>
          </w:tcPr>
          <w:p w14:paraId="041E301C" w14:textId="77777777" w:rsidR="003741ED" w:rsidRPr="00E66263" w:rsidRDefault="003741ED" w:rsidP="00BE7C7A">
            <w:pPr>
              <w:pStyle w:val="TableText"/>
              <w:rPr>
                <w:lang w:eastAsia="en-NZ"/>
              </w:rPr>
            </w:pPr>
            <w:r w:rsidRPr="00E66263">
              <w:rPr>
                <w:lang w:eastAsia="en-NZ"/>
              </w:rPr>
              <w:t>2005</w:t>
            </w:r>
          </w:p>
        </w:tc>
        <w:tc>
          <w:tcPr>
            <w:tcW w:w="2693"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1D" w14:textId="77777777" w:rsidR="003741ED" w:rsidRPr="00E66263" w:rsidRDefault="003741ED" w:rsidP="00BE7C7A">
            <w:pPr>
              <w:pStyle w:val="TableText"/>
              <w:rPr>
                <w:lang w:eastAsia="en-NZ"/>
              </w:rPr>
            </w:pPr>
            <w:r w:rsidRPr="00E66263">
              <w:rPr>
                <w:lang w:eastAsia="en-NZ"/>
              </w:rPr>
              <w:t>Bridge Valley camp</w:t>
            </w:r>
          </w:p>
        </w:tc>
        <w:tc>
          <w:tcPr>
            <w:tcW w:w="1985"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1E" w14:textId="77777777" w:rsidR="003741ED" w:rsidRPr="00E66263" w:rsidRDefault="003741ED" w:rsidP="00BE7C7A">
            <w:pPr>
              <w:pStyle w:val="TableText"/>
              <w:rPr>
                <w:i/>
                <w:iCs/>
                <w:lang w:eastAsia="en-NZ"/>
              </w:rPr>
            </w:pPr>
            <w:r w:rsidRPr="00E66263">
              <w:rPr>
                <w:i/>
                <w:iCs/>
                <w:lang w:eastAsia="en-NZ"/>
              </w:rPr>
              <w:t>Campylobacter</w:t>
            </w:r>
          </w:p>
        </w:tc>
        <w:tc>
          <w:tcPr>
            <w:tcW w:w="992" w:type="dxa"/>
            <w:tcBorders>
              <w:left w:val="single" w:sz="4" w:space="0" w:color="A6A6A6" w:themeColor="background1" w:themeShade="A6"/>
              <w:bottom w:val="single" w:sz="4" w:space="0" w:color="A6A6A6" w:themeColor="background1" w:themeShade="A6"/>
              <w:right w:val="nil"/>
            </w:tcBorders>
            <w:shd w:val="clear" w:color="auto" w:fill="auto"/>
            <w:noWrap/>
          </w:tcPr>
          <w:p w14:paraId="041E301F" w14:textId="77777777" w:rsidR="003741ED" w:rsidRPr="00E66263" w:rsidRDefault="003741ED" w:rsidP="00BE7C7A">
            <w:pPr>
              <w:pStyle w:val="TableText"/>
              <w:tabs>
                <w:tab w:val="decimal" w:pos="525"/>
              </w:tabs>
              <w:rPr>
                <w:lang w:eastAsia="en-NZ"/>
              </w:rPr>
            </w:pPr>
            <w:r w:rsidRPr="00E66263">
              <w:rPr>
                <w:lang w:eastAsia="en-NZ"/>
              </w:rPr>
              <w:t>3</w:t>
            </w:r>
          </w:p>
        </w:tc>
        <w:tc>
          <w:tcPr>
            <w:tcW w:w="851" w:type="dxa"/>
            <w:tcBorders>
              <w:left w:val="nil"/>
              <w:bottom w:val="single" w:sz="4" w:space="0" w:color="A6A6A6" w:themeColor="background1" w:themeShade="A6"/>
              <w:right w:val="single" w:sz="4" w:space="0" w:color="A6A6A6" w:themeColor="background1" w:themeShade="A6"/>
            </w:tcBorders>
            <w:shd w:val="clear" w:color="auto" w:fill="auto"/>
            <w:noWrap/>
          </w:tcPr>
          <w:p w14:paraId="041E3020" w14:textId="77777777" w:rsidR="003741ED" w:rsidRPr="00E66263" w:rsidRDefault="003741ED" w:rsidP="00BE7C7A">
            <w:pPr>
              <w:pStyle w:val="TableText"/>
              <w:tabs>
                <w:tab w:val="decimal" w:pos="510"/>
              </w:tabs>
              <w:rPr>
                <w:lang w:eastAsia="en-NZ"/>
              </w:rPr>
            </w:pPr>
            <w:r w:rsidRPr="00E66263">
              <w:rPr>
                <w:lang w:eastAsia="en-NZ"/>
              </w:rPr>
              <w:t>10</w:t>
            </w:r>
          </w:p>
        </w:tc>
        <w:tc>
          <w:tcPr>
            <w:tcW w:w="170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21" w14:textId="77777777" w:rsidR="003741ED" w:rsidRPr="00E66263" w:rsidRDefault="003741ED" w:rsidP="00BE7C7A">
            <w:pPr>
              <w:pStyle w:val="TableText"/>
              <w:rPr>
                <w:lang w:eastAsia="en-NZ"/>
              </w:rPr>
            </w:pPr>
            <w:r w:rsidRPr="00E66263">
              <w:t>EpiSurv</w:t>
            </w:r>
          </w:p>
        </w:tc>
        <w:tc>
          <w:tcPr>
            <w:tcW w:w="5670" w:type="dxa"/>
            <w:tcBorders>
              <w:left w:val="single" w:sz="4" w:space="0" w:color="A6A6A6" w:themeColor="background1" w:themeShade="A6"/>
              <w:bottom w:val="single" w:sz="4" w:space="0" w:color="A6A6A6" w:themeColor="background1" w:themeShade="A6"/>
              <w:right w:val="nil"/>
            </w:tcBorders>
            <w:shd w:val="clear" w:color="auto" w:fill="auto"/>
            <w:noWrap/>
          </w:tcPr>
          <w:p w14:paraId="041E3022" w14:textId="77777777" w:rsidR="003741ED" w:rsidRPr="00E66263" w:rsidRDefault="003741ED" w:rsidP="00BE7C7A">
            <w:pPr>
              <w:pStyle w:val="TableText"/>
            </w:pPr>
          </w:p>
        </w:tc>
      </w:tr>
      <w:tr w:rsidR="003741ED" w:rsidRPr="00E66263" w14:paraId="041E302B"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24" w14:textId="77777777" w:rsidR="003741ED" w:rsidRPr="00E66263" w:rsidRDefault="003741ED" w:rsidP="00BE7C7A">
            <w:pPr>
              <w:pStyle w:val="TableText"/>
              <w:rPr>
                <w:lang w:eastAsia="en-NZ"/>
              </w:rPr>
            </w:pPr>
            <w:r w:rsidRPr="00E66263">
              <w:rPr>
                <w:lang w:eastAsia="en-NZ"/>
              </w:rPr>
              <w:t>2005</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25" w14:textId="77777777" w:rsidR="003741ED" w:rsidRPr="00E66263" w:rsidRDefault="003741ED" w:rsidP="00BE7C7A">
            <w:pPr>
              <w:pStyle w:val="TableText"/>
              <w:rPr>
                <w:lang w:eastAsia="en-NZ"/>
              </w:rPr>
            </w:pPr>
            <w:r w:rsidRPr="00E66263">
              <w:rPr>
                <w:lang w:eastAsia="en-NZ"/>
              </w:rPr>
              <w:t>Hawke</w:t>
            </w:r>
            <w:r>
              <w:rPr>
                <w:lang w:eastAsia="en-NZ"/>
              </w:rPr>
              <w:t>’</w:t>
            </w:r>
            <w:r w:rsidRPr="00E66263">
              <w:rPr>
                <w:lang w:eastAsia="en-NZ"/>
              </w:rPr>
              <w:t>s Bay school camp</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26" w14:textId="77777777" w:rsidR="003741ED" w:rsidRPr="00E66263" w:rsidRDefault="003741ED" w:rsidP="00BE7C7A">
            <w:pPr>
              <w:pStyle w:val="TableText"/>
              <w:rPr>
                <w:i/>
                <w:iCs/>
                <w:lang w:eastAsia="en-NZ"/>
              </w:rPr>
            </w:pPr>
            <w:r w:rsidRPr="00E66263">
              <w:rPr>
                <w:i/>
                <w:iCs/>
                <w:lang w:eastAsia="en-NZ"/>
              </w:rPr>
              <w:t>Campylobacter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27" w14:textId="77777777" w:rsidR="003741ED" w:rsidRPr="00E66263" w:rsidRDefault="003741ED" w:rsidP="00BE7C7A">
            <w:pPr>
              <w:pStyle w:val="TableText"/>
              <w:tabs>
                <w:tab w:val="decimal" w:pos="525"/>
              </w:tabs>
              <w:rPr>
                <w:lang w:eastAsia="en-NZ"/>
              </w:rPr>
            </w:pPr>
            <w:r w:rsidRPr="00E66263">
              <w:rPr>
                <w:lang w:eastAsia="en-NZ"/>
              </w:rPr>
              <w:t>6</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28" w14:textId="77777777" w:rsidR="003741ED" w:rsidRPr="00E66263" w:rsidRDefault="003741ED" w:rsidP="00BE7C7A">
            <w:pPr>
              <w:pStyle w:val="TableText"/>
              <w:tabs>
                <w:tab w:val="decimal" w:pos="510"/>
              </w:tabs>
              <w:rPr>
                <w:lang w:eastAsia="en-NZ"/>
              </w:rPr>
            </w:pPr>
            <w:r w:rsidRPr="00E66263">
              <w:rPr>
                <w:lang w:eastAsia="en-NZ"/>
              </w:rPr>
              <w:t>34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29" w14:textId="77777777" w:rsidR="003741ED" w:rsidRPr="00E66263" w:rsidRDefault="003741ED" w:rsidP="00BE7C7A">
            <w:pPr>
              <w:pStyle w:val="TableText"/>
              <w:rPr>
                <w:lang w:eastAsia="en-NZ"/>
              </w:rPr>
            </w:pPr>
            <w:r w:rsidRPr="00E66263">
              <w:rPr>
                <w:lang w:eastAsia="en-NZ"/>
              </w:rPr>
              <w:t>NZPHSR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2A" w14:textId="77777777" w:rsidR="003741ED" w:rsidRPr="00E66263" w:rsidRDefault="00740533" w:rsidP="00BE7C7A">
            <w:pPr>
              <w:pStyle w:val="TableText"/>
              <w:rPr>
                <w:lang w:eastAsia="en-NZ"/>
              </w:rPr>
            </w:pPr>
            <w:hyperlink r:id="rId16" w:history="1">
              <w:r w:rsidR="003741ED" w:rsidRPr="00E66263">
                <w:rPr>
                  <w:rStyle w:val="Hyperlink"/>
                  <w:rFonts w:cs="Arial"/>
                  <w:szCs w:val="18"/>
                  <w:lang w:eastAsia="en-NZ"/>
                </w:rPr>
                <w:t>https://surv.esr.cri.nz/PDF_surveillance/NZPHSR/2006/NZPHSR2006March.pdf</w:t>
              </w:r>
            </w:hyperlink>
          </w:p>
        </w:tc>
      </w:tr>
      <w:tr w:rsidR="003741ED" w:rsidRPr="00E66263" w14:paraId="041E3033"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2C" w14:textId="77777777" w:rsidR="003741ED" w:rsidRPr="00E66263" w:rsidRDefault="003741ED" w:rsidP="00BE7C7A">
            <w:pPr>
              <w:pStyle w:val="TableText"/>
            </w:pPr>
            <w:r w:rsidRPr="00E66263">
              <w:t>2005</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2D" w14:textId="77777777" w:rsidR="003741ED" w:rsidRPr="00E66263" w:rsidRDefault="003741ED" w:rsidP="00BE7C7A">
            <w:pPr>
              <w:pStyle w:val="TableText"/>
            </w:pPr>
            <w:r w:rsidRPr="00E66263">
              <w:t>Med student camp, Canterbury</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2E" w14:textId="77777777" w:rsidR="003741ED" w:rsidRPr="00E66263" w:rsidRDefault="003741ED" w:rsidP="00BE7C7A">
            <w:pPr>
              <w:pStyle w:val="TableText"/>
            </w:pPr>
            <w:r w:rsidRPr="00E66263">
              <w:rPr>
                <w:i/>
                <w:iCs/>
                <w:lang w:eastAsia="en-NZ"/>
              </w:rPr>
              <w:t>Campylobacter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2F" w14:textId="77777777" w:rsidR="003741ED" w:rsidRPr="00E66263" w:rsidRDefault="003741ED" w:rsidP="00BE7C7A">
            <w:pPr>
              <w:pStyle w:val="TableText"/>
              <w:tabs>
                <w:tab w:val="decimal" w:pos="525"/>
              </w:tabs>
            </w:pPr>
            <w:r w:rsidRPr="00E66263">
              <w:t>13</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30" w14:textId="77777777" w:rsidR="003741ED" w:rsidRPr="00E66263" w:rsidRDefault="003741ED" w:rsidP="00BE7C7A">
            <w:pPr>
              <w:pStyle w:val="TableText"/>
              <w:tabs>
                <w:tab w:val="decimal" w:pos="510"/>
              </w:tabs>
            </w:pPr>
            <w:r w:rsidRPr="00E66263">
              <w:t>21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31" w14:textId="77777777" w:rsidR="003741ED" w:rsidRPr="00E66263" w:rsidRDefault="003741ED" w:rsidP="00BE7C7A">
            <w:pPr>
              <w:pStyle w:val="TableText"/>
            </w:pPr>
            <w:r w:rsidRPr="00E66263">
              <w:t>EpiSurv</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32" w14:textId="77777777" w:rsidR="003741ED" w:rsidRPr="00E66263" w:rsidRDefault="003741ED" w:rsidP="00BE7C7A">
            <w:pPr>
              <w:pStyle w:val="TableText"/>
            </w:pPr>
          </w:p>
        </w:tc>
      </w:tr>
      <w:tr w:rsidR="003741ED" w:rsidRPr="00E66263" w14:paraId="041E303B"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34" w14:textId="77777777" w:rsidR="003741ED" w:rsidRPr="00E66263" w:rsidRDefault="003741ED" w:rsidP="00BE7C7A">
            <w:pPr>
              <w:pStyle w:val="TableText"/>
            </w:pPr>
            <w:r w:rsidRPr="00E66263">
              <w:t>2005</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35" w14:textId="77777777" w:rsidR="003741ED" w:rsidRPr="00E66263" w:rsidRDefault="003741ED" w:rsidP="00BE7C7A">
            <w:pPr>
              <w:pStyle w:val="TableText"/>
            </w:pPr>
            <w:r w:rsidRPr="00E66263">
              <w:t>Otago bowling tournament</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36" w14:textId="77777777" w:rsidR="003741ED" w:rsidRPr="00E66263" w:rsidRDefault="003741ED" w:rsidP="00BE7C7A">
            <w:pPr>
              <w:pStyle w:val="TableText"/>
            </w:pPr>
            <w:r w:rsidRPr="00E66263">
              <w:rPr>
                <w:i/>
                <w:iCs/>
                <w:lang w:eastAsia="en-NZ"/>
              </w:rPr>
              <w:t>Campylobacter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37" w14:textId="77777777" w:rsidR="003741ED" w:rsidRPr="00E66263" w:rsidRDefault="003741ED" w:rsidP="00BE7C7A">
            <w:pPr>
              <w:pStyle w:val="TableText"/>
              <w:tabs>
                <w:tab w:val="decimal" w:pos="525"/>
              </w:tabs>
            </w:pPr>
            <w:r w:rsidRPr="00E66263">
              <w:t>8</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38" w14:textId="77777777" w:rsidR="003741ED" w:rsidRPr="00E66263" w:rsidRDefault="003741ED" w:rsidP="00BE7C7A">
            <w:pPr>
              <w:pStyle w:val="TableText"/>
              <w:tabs>
                <w:tab w:val="decimal" w:pos="510"/>
              </w:tabs>
            </w:pPr>
            <w:r w:rsidRPr="00E66263">
              <w:t>13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39" w14:textId="77777777" w:rsidR="003741ED" w:rsidRPr="00E66263" w:rsidRDefault="003741ED" w:rsidP="00BE7C7A">
            <w:pPr>
              <w:pStyle w:val="TableText"/>
            </w:pPr>
            <w:r w:rsidRPr="00E66263">
              <w:t>EpiSurv</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3A" w14:textId="77777777" w:rsidR="003741ED" w:rsidRPr="00E66263" w:rsidRDefault="003741ED" w:rsidP="00BE7C7A">
            <w:pPr>
              <w:pStyle w:val="TableText"/>
            </w:pPr>
          </w:p>
        </w:tc>
      </w:tr>
      <w:tr w:rsidR="003741ED" w:rsidRPr="00E66263" w14:paraId="041E3043"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3C" w14:textId="77777777" w:rsidR="003741ED" w:rsidRPr="00E66263" w:rsidRDefault="003741ED" w:rsidP="00BE7C7A">
            <w:pPr>
              <w:pStyle w:val="TableText"/>
            </w:pPr>
            <w:r w:rsidRPr="00E66263">
              <w:t>2006</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3D" w14:textId="77777777" w:rsidR="003741ED" w:rsidRPr="00E66263" w:rsidRDefault="003741ED" w:rsidP="00BE7C7A">
            <w:pPr>
              <w:pStyle w:val="TableText"/>
            </w:pPr>
            <w:r w:rsidRPr="00E66263">
              <w:t>Cardrona Skifield</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3E" w14:textId="77777777" w:rsidR="003741ED" w:rsidRPr="00E66263" w:rsidRDefault="003741ED" w:rsidP="00BE7C7A">
            <w:pPr>
              <w:pStyle w:val="TableText"/>
            </w:pPr>
            <w:r w:rsidRPr="00E66263">
              <w:t>Norovirus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3F" w14:textId="77777777" w:rsidR="003741ED" w:rsidRPr="00E66263" w:rsidRDefault="003741ED" w:rsidP="00BE7C7A">
            <w:pPr>
              <w:pStyle w:val="TableText"/>
              <w:tabs>
                <w:tab w:val="decimal" w:pos="525"/>
              </w:tabs>
            </w:pPr>
            <w:r w:rsidRPr="00E66263">
              <w:t>218</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40" w14:textId="77777777" w:rsidR="003741ED" w:rsidRPr="00E66263" w:rsidRDefault="003741ED" w:rsidP="00BE7C7A">
            <w:pPr>
              <w:pStyle w:val="TableText"/>
              <w:tabs>
                <w:tab w:val="decimal" w:pos="510"/>
              </w:tabs>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41" w14:textId="77777777" w:rsidR="003741ED" w:rsidRPr="00E66263" w:rsidRDefault="003741ED" w:rsidP="00BE7C7A">
            <w:pPr>
              <w:pStyle w:val="TableText"/>
            </w:pPr>
            <w:r w:rsidRPr="00E66263">
              <w:t>Appl Environ Microbiol</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42" w14:textId="77777777" w:rsidR="003741ED" w:rsidRPr="00E66263" w:rsidRDefault="003741ED" w:rsidP="00BE7C7A">
            <w:pPr>
              <w:pStyle w:val="TableText"/>
            </w:pPr>
            <w:r w:rsidRPr="00E66263">
              <w:t xml:space="preserve">Hewitt J, Bell D, Simmons G, </w:t>
            </w:r>
            <w:r w:rsidR="004A00B0">
              <w:t>et al</w:t>
            </w:r>
            <w:r w:rsidRPr="00E66263">
              <w:t>. (2007). Gastroenteritis Outbreak Caused by Waterborne Norovirus at a New Zealand Ski Resort. Appl Environ Microbiol. 73 (24):7853–7857</w:t>
            </w:r>
          </w:p>
        </w:tc>
      </w:tr>
      <w:tr w:rsidR="003741ED" w:rsidRPr="00E66263" w14:paraId="041E304B"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44" w14:textId="77777777" w:rsidR="003741ED" w:rsidRPr="00E66263" w:rsidRDefault="003741ED" w:rsidP="00BE7C7A">
            <w:pPr>
              <w:pStyle w:val="TableText"/>
              <w:rPr>
                <w:lang w:eastAsia="en-NZ"/>
              </w:rPr>
            </w:pPr>
            <w:r w:rsidRPr="00E66263">
              <w:rPr>
                <w:lang w:eastAsia="en-NZ"/>
              </w:rPr>
              <w:t>2006</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45" w14:textId="77777777" w:rsidR="003741ED" w:rsidRPr="00E66263" w:rsidRDefault="003741ED" w:rsidP="00BE7C7A">
            <w:pPr>
              <w:pStyle w:val="TableText"/>
              <w:rPr>
                <w:lang w:eastAsia="en-NZ"/>
              </w:rPr>
            </w:pPr>
            <w:r w:rsidRPr="00E66263">
              <w:rPr>
                <w:lang w:eastAsia="en-NZ"/>
              </w:rPr>
              <w:t>School camp, Te Kuiti</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46" w14:textId="77777777" w:rsidR="003741ED" w:rsidRPr="00E66263" w:rsidRDefault="003741ED" w:rsidP="00BE7C7A">
            <w:pPr>
              <w:pStyle w:val="TableText"/>
              <w:rPr>
                <w:lang w:eastAsia="en-NZ"/>
              </w:rPr>
            </w:pPr>
            <w:r w:rsidRPr="00E66263">
              <w:rPr>
                <w:i/>
                <w:iCs/>
                <w:lang w:eastAsia="en-NZ"/>
              </w:rPr>
              <w:t>Campylobacter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47" w14:textId="77777777" w:rsidR="003741ED" w:rsidRPr="00E66263" w:rsidRDefault="003741ED" w:rsidP="00BE7C7A">
            <w:pPr>
              <w:pStyle w:val="TableText"/>
              <w:tabs>
                <w:tab w:val="decimal" w:pos="525"/>
              </w:tabs>
              <w:rPr>
                <w:lang w:eastAsia="en-NZ"/>
              </w:rPr>
            </w:pPr>
            <w:r w:rsidRPr="00E66263">
              <w:rPr>
                <w:lang w:eastAsia="en-NZ"/>
              </w:rPr>
              <w:t>2</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48" w14:textId="77777777" w:rsidR="003741ED" w:rsidRPr="00E66263" w:rsidRDefault="003741ED" w:rsidP="00BE7C7A">
            <w:pPr>
              <w:pStyle w:val="TableText"/>
              <w:tabs>
                <w:tab w:val="decimal" w:pos="510"/>
              </w:tabs>
              <w:rPr>
                <w:lang w:eastAsia="en-NZ"/>
              </w:rPr>
            </w:pPr>
            <w:r w:rsidRPr="00E66263">
              <w:rPr>
                <w:lang w:eastAsia="en-NZ"/>
              </w:rPr>
              <w:t>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49" w14:textId="77777777" w:rsidR="003741ED" w:rsidRPr="00E66263" w:rsidRDefault="003741ED" w:rsidP="00BE7C7A">
            <w:pPr>
              <w:pStyle w:val="TableText"/>
              <w:rPr>
                <w:lang w:eastAsia="en-NZ"/>
              </w:rPr>
            </w:pPr>
            <w:r w:rsidRPr="00E66263">
              <w:rPr>
                <w:lang w:eastAsia="en-NZ"/>
              </w:rPr>
              <w:t>EpiSurv</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4A" w14:textId="77777777" w:rsidR="003741ED" w:rsidRPr="00E66263" w:rsidRDefault="003741ED" w:rsidP="00BE7C7A">
            <w:pPr>
              <w:pStyle w:val="TableText"/>
            </w:pPr>
          </w:p>
        </w:tc>
      </w:tr>
      <w:tr w:rsidR="003741ED" w:rsidRPr="00E66263" w14:paraId="041E3053"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4C" w14:textId="77777777" w:rsidR="003741ED" w:rsidRPr="00E66263" w:rsidRDefault="003741ED" w:rsidP="00BE7C7A">
            <w:pPr>
              <w:pStyle w:val="TableText"/>
              <w:rPr>
                <w:lang w:eastAsia="en-NZ"/>
              </w:rPr>
            </w:pPr>
            <w:r w:rsidRPr="00E66263">
              <w:rPr>
                <w:lang w:eastAsia="en-NZ"/>
              </w:rPr>
              <w:t>2007</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4D" w14:textId="77777777" w:rsidR="003741ED" w:rsidRPr="00E66263" w:rsidRDefault="003741ED" w:rsidP="00BE7C7A">
            <w:pPr>
              <w:pStyle w:val="TableText"/>
              <w:rPr>
                <w:lang w:eastAsia="en-NZ"/>
              </w:rPr>
            </w:pPr>
            <w:r w:rsidRPr="00E66263">
              <w:rPr>
                <w:lang w:eastAsia="en-NZ"/>
              </w:rPr>
              <w:t>School camp, Wellington</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4E" w14:textId="77777777" w:rsidR="003741ED" w:rsidRPr="00E66263" w:rsidRDefault="003741ED" w:rsidP="00BE7C7A">
            <w:pPr>
              <w:pStyle w:val="TableText"/>
              <w:rPr>
                <w:lang w:eastAsia="en-NZ"/>
              </w:rPr>
            </w:pPr>
            <w:r>
              <w:rPr>
                <w:lang w:eastAsia="en-NZ"/>
              </w:rPr>
              <w:t>Gastro –</w:t>
            </w:r>
            <w:r w:rsidRPr="00E66263">
              <w:rPr>
                <w:lang w:eastAsia="en-NZ"/>
              </w:rPr>
              <w:t xml:space="preserve"> unknown cause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4F" w14:textId="77777777" w:rsidR="003741ED" w:rsidRPr="00E66263" w:rsidRDefault="003741ED" w:rsidP="00BE7C7A">
            <w:pPr>
              <w:pStyle w:val="TableText"/>
              <w:tabs>
                <w:tab w:val="decimal" w:pos="525"/>
              </w:tabs>
              <w:rPr>
                <w:lang w:eastAsia="en-NZ"/>
              </w:rPr>
            </w:pPr>
            <w:r w:rsidRPr="00E66263">
              <w:rPr>
                <w:lang w:eastAsia="en-NZ"/>
              </w:rPr>
              <w:t>96</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50" w14:textId="77777777" w:rsidR="003741ED" w:rsidRPr="00E66263" w:rsidRDefault="003741ED" w:rsidP="00BE7C7A">
            <w:pPr>
              <w:pStyle w:val="TableText"/>
              <w:tabs>
                <w:tab w:val="decimal" w:pos="510"/>
              </w:tabs>
              <w:rPr>
                <w:lang w:eastAsia="en-NZ"/>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51" w14:textId="77777777" w:rsidR="003741ED" w:rsidRPr="00E66263" w:rsidRDefault="003741ED" w:rsidP="00BE7C7A">
            <w:pPr>
              <w:pStyle w:val="TableText"/>
              <w:rPr>
                <w:lang w:eastAsia="en-NZ"/>
              </w:rPr>
            </w:pPr>
            <w:r w:rsidRPr="00E66263">
              <w:rPr>
                <w:lang w:eastAsia="en-NZ"/>
              </w:rPr>
              <w:t>NZPHSR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52" w14:textId="77777777" w:rsidR="003741ED" w:rsidRPr="00E66263" w:rsidRDefault="00740533" w:rsidP="00BE7C7A">
            <w:pPr>
              <w:pStyle w:val="TableText"/>
              <w:rPr>
                <w:lang w:eastAsia="en-NZ"/>
              </w:rPr>
            </w:pPr>
            <w:hyperlink r:id="rId17" w:history="1">
              <w:r w:rsidR="003741ED" w:rsidRPr="00E66263">
                <w:rPr>
                  <w:rStyle w:val="Hyperlink"/>
                  <w:rFonts w:cs="Arial"/>
                  <w:szCs w:val="18"/>
                  <w:lang w:eastAsia="en-NZ"/>
                </w:rPr>
                <w:t>https://surv.esr.cri.nz/PDF_surveillance/NZPHSR/2007/NZPHSR200712Dec.pdf</w:t>
              </w:r>
            </w:hyperlink>
          </w:p>
        </w:tc>
      </w:tr>
      <w:tr w:rsidR="003741ED" w:rsidRPr="00E66263" w14:paraId="041E305B"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54" w14:textId="77777777" w:rsidR="003741ED" w:rsidRPr="00E66263" w:rsidRDefault="003741ED" w:rsidP="00BE7C7A">
            <w:pPr>
              <w:pStyle w:val="TableText"/>
              <w:rPr>
                <w:lang w:eastAsia="en-NZ"/>
              </w:rPr>
            </w:pPr>
            <w:r w:rsidRPr="00E66263">
              <w:rPr>
                <w:lang w:eastAsia="en-NZ"/>
              </w:rPr>
              <w:t>2007</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55" w14:textId="77777777" w:rsidR="003741ED" w:rsidRPr="00E66263" w:rsidRDefault="003741ED" w:rsidP="00BE7C7A">
            <w:pPr>
              <w:pStyle w:val="TableText"/>
              <w:rPr>
                <w:lang w:eastAsia="en-NZ"/>
              </w:rPr>
            </w:pPr>
            <w:r w:rsidRPr="00E66263">
              <w:rPr>
                <w:lang w:eastAsia="en-NZ"/>
              </w:rPr>
              <w:t>Northland school</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56" w14:textId="77777777" w:rsidR="003741ED" w:rsidRPr="00E66263" w:rsidRDefault="003741ED" w:rsidP="00BE7C7A">
            <w:pPr>
              <w:pStyle w:val="TableText"/>
              <w:rPr>
                <w:lang w:eastAsia="en-NZ"/>
              </w:rPr>
            </w:pPr>
            <w:r w:rsidRPr="00E66263">
              <w:rPr>
                <w:lang w:eastAsia="en-NZ"/>
              </w:rPr>
              <w:t xml:space="preserve">Gastro </w:t>
            </w:r>
            <w:r>
              <w:rPr>
                <w:lang w:eastAsia="en-NZ"/>
              </w:rPr>
              <w:t>–</w:t>
            </w:r>
            <w:r w:rsidRPr="00E66263">
              <w:rPr>
                <w:lang w:eastAsia="en-NZ"/>
              </w:rPr>
              <w:t xml:space="preserve"> viral unknown cause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57" w14:textId="77777777" w:rsidR="003741ED" w:rsidRPr="00E66263" w:rsidRDefault="003741ED" w:rsidP="00BE7C7A">
            <w:pPr>
              <w:pStyle w:val="TableText"/>
              <w:tabs>
                <w:tab w:val="decimal" w:pos="525"/>
              </w:tabs>
              <w:rPr>
                <w:lang w:eastAsia="en-NZ"/>
              </w:rPr>
            </w:pPr>
            <w:r w:rsidRPr="00E66263">
              <w:rPr>
                <w:lang w:eastAsia="en-NZ"/>
              </w:rPr>
              <w:t>17</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58" w14:textId="77777777" w:rsidR="003741ED" w:rsidRPr="00E66263" w:rsidRDefault="003741ED" w:rsidP="00BE7C7A">
            <w:pPr>
              <w:pStyle w:val="TableText"/>
              <w:tabs>
                <w:tab w:val="decimal" w:pos="510"/>
              </w:tabs>
              <w:rPr>
                <w:lang w:eastAsia="en-NZ"/>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59" w14:textId="77777777" w:rsidR="003741ED" w:rsidRPr="00E66263" w:rsidRDefault="003741ED" w:rsidP="00BE7C7A">
            <w:pPr>
              <w:pStyle w:val="TableText"/>
              <w:rPr>
                <w:lang w:eastAsia="en-NZ"/>
              </w:rPr>
            </w:pPr>
            <w:r w:rsidRPr="00E66263">
              <w:rPr>
                <w:lang w:eastAsia="en-NZ"/>
              </w:rPr>
              <w:t>NZPHSR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5A" w14:textId="77777777" w:rsidR="003741ED" w:rsidRPr="00E66263" w:rsidRDefault="00740533" w:rsidP="00BE7C7A">
            <w:pPr>
              <w:pStyle w:val="TableText"/>
              <w:rPr>
                <w:lang w:eastAsia="en-NZ"/>
              </w:rPr>
            </w:pPr>
            <w:hyperlink r:id="rId18" w:history="1">
              <w:r w:rsidR="003741ED" w:rsidRPr="00E66263">
                <w:rPr>
                  <w:rStyle w:val="Hyperlink"/>
                  <w:rFonts w:cs="Arial"/>
                  <w:szCs w:val="18"/>
                  <w:lang w:eastAsia="en-NZ"/>
                </w:rPr>
                <w:t>https://surv.esr.cri.nz/PDF_surveillance/NZPHSR/2007/NZPHSR200709Sept.pdf</w:t>
              </w:r>
            </w:hyperlink>
          </w:p>
        </w:tc>
      </w:tr>
      <w:tr w:rsidR="003741ED" w:rsidRPr="00E66263" w14:paraId="041E3063"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5C" w14:textId="77777777" w:rsidR="003741ED" w:rsidRPr="00E66263" w:rsidRDefault="003741ED" w:rsidP="00BE7C7A">
            <w:pPr>
              <w:pStyle w:val="TableText"/>
              <w:rPr>
                <w:lang w:eastAsia="en-NZ"/>
              </w:rPr>
            </w:pPr>
            <w:r w:rsidRPr="00E66263">
              <w:rPr>
                <w:lang w:eastAsia="en-NZ"/>
              </w:rPr>
              <w:t>2008</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5D" w14:textId="77777777" w:rsidR="003741ED" w:rsidRPr="00E66263" w:rsidRDefault="003741ED" w:rsidP="00BE7C7A">
            <w:pPr>
              <w:pStyle w:val="TableText"/>
              <w:rPr>
                <w:lang w:eastAsia="en-NZ"/>
              </w:rPr>
            </w:pPr>
            <w:r w:rsidRPr="00E66263">
              <w:rPr>
                <w:lang w:eastAsia="en-NZ"/>
              </w:rPr>
              <w:t>Springston</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5E" w14:textId="77777777" w:rsidR="003741ED" w:rsidRPr="00E66263" w:rsidRDefault="003741ED" w:rsidP="00BE7C7A">
            <w:pPr>
              <w:pStyle w:val="TableText"/>
              <w:rPr>
                <w:i/>
                <w:iCs/>
                <w:lang w:eastAsia="en-NZ"/>
              </w:rPr>
            </w:pPr>
            <w:r w:rsidRPr="00E66263">
              <w:rPr>
                <w:i/>
                <w:iCs/>
                <w:lang w:eastAsia="en-NZ"/>
              </w:rPr>
              <w:t>Campylobacter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5F" w14:textId="77777777" w:rsidR="003741ED" w:rsidRPr="00E66263" w:rsidRDefault="003741ED" w:rsidP="00BE7C7A">
            <w:pPr>
              <w:pStyle w:val="TableText"/>
              <w:tabs>
                <w:tab w:val="decimal" w:pos="525"/>
              </w:tabs>
              <w:rPr>
                <w:lang w:eastAsia="en-NZ"/>
              </w:rPr>
            </w:pPr>
            <w:r w:rsidRPr="00E66263">
              <w:rPr>
                <w:lang w:eastAsia="en-NZ"/>
              </w:rPr>
              <w:t>5</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60" w14:textId="77777777" w:rsidR="003741ED" w:rsidRPr="00E66263" w:rsidRDefault="003741ED" w:rsidP="00BE7C7A">
            <w:pPr>
              <w:pStyle w:val="TableText"/>
              <w:tabs>
                <w:tab w:val="decimal" w:pos="510"/>
              </w:tabs>
              <w:rPr>
                <w:lang w:eastAsia="en-NZ"/>
              </w:rPr>
            </w:pPr>
            <w:r w:rsidRPr="00E66263">
              <w:rPr>
                <w:lang w:eastAsia="en-NZ"/>
              </w:rPr>
              <w:t>39</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61" w14:textId="77777777" w:rsidR="003741ED" w:rsidRPr="00E66263" w:rsidRDefault="003741ED" w:rsidP="00BE7C7A">
            <w:pPr>
              <w:pStyle w:val="TableText"/>
              <w:rPr>
                <w:lang w:eastAsia="en-NZ"/>
              </w:rPr>
            </w:pPr>
            <w:r w:rsidRPr="00E66263">
              <w:rPr>
                <w:lang w:eastAsia="en-NZ"/>
              </w:rPr>
              <w:t>EpiSurv</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62" w14:textId="77777777" w:rsidR="003741ED" w:rsidRPr="00E66263" w:rsidRDefault="00740533" w:rsidP="00BE7C7A">
            <w:pPr>
              <w:pStyle w:val="TableText"/>
              <w:rPr>
                <w:lang w:eastAsia="en-NZ"/>
              </w:rPr>
            </w:pPr>
            <w:hyperlink r:id="rId19" w:history="1">
              <w:r w:rsidR="003741ED" w:rsidRPr="00E66263">
                <w:rPr>
                  <w:rStyle w:val="Hyperlink"/>
                  <w:rFonts w:cs="Arial"/>
                  <w:szCs w:val="18"/>
                  <w:lang w:eastAsia="en-NZ"/>
                </w:rPr>
                <w:t>http://www.3news.co.nz/Springston-residents-forced-to-boil-water-after-E-Coli-outbreak/tabid/423/articleID/49229/Default.aspx</w:t>
              </w:r>
            </w:hyperlink>
          </w:p>
        </w:tc>
      </w:tr>
      <w:tr w:rsidR="003741ED" w:rsidRPr="00E66263" w14:paraId="041E306B"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64" w14:textId="77777777" w:rsidR="003741ED" w:rsidRPr="00E66263" w:rsidRDefault="003741ED" w:rsidP="00BE7C7A">
            <w:pPr>
              <w:pStyle w:val="TableText"/>
              <w:rPr>
                <w:lang w:eastAsia="en-NZ"/>
              </w:rPr>
            </w:pPr>
            <w:r w:rsidRPr="00E66263">
              <w:rPr>
                <w:lang w:eastAsia="en-NZ"/>
              </w:rPr>
              <w:t>2008</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65" w14:textId="77777777" w:rsidR="003741ED" w:rsidRPr="00E66263" w:rsidRDefault="003741ED" w:rsidP="00BE7C7A">
            <w:pPr>
              <w:pStyle w:val="TableText"/>
              <w:rPr>
                <w:lang w:eastAsia="en-NZ"/>
              </w:rPr>
            </w:pPr>
            <w:r w:rsidRPr="00E66263">
              <w:rPr>
                <w:lang w:eastAsia="en-NZ"/>
              </w:rPr>
              <w:t>South Canterbury youth camp</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66" w14:textId="77777777" w:rsidR="003741ED" w:rsidRPr="00E66263" w:rsidRDefault="003741ED" w:rsidP="00BE7C7A">
            <w:pPr>
              <w:pStyle w:val="TableText"/>
              <w:rPr>
                <w:i/>
                <w:iCs/>
                <w:lang w:eastAsia="en-NZ"/>
              </w:rPr>
            </w:pPr>
            <w:r w:rsidRPr="00E66263">
              <w:rPr>
                <w:i/>
                <w:iCs/>
                <w:lang w:eastAsia="en-NZ"/>
              </w:rPr>
              <w:t>Campylobacter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67" w14:textId="77777777" w:rsidR="003741ED" w:rsidRPr="00E66263" w:rsidRDefault="003741ED" w:rsidP="00BE7C7A">
            <w:pPr>
              <w:pStyle w:val="TableText"/>
              <w:tabs>
                <w:tab w:val="decimal" w:pos="525"/>
              </w:tabs>
              <w:rPr>
                <w:lang w:eastAsia="en-NZ"/>
              </w:rPr>
            </w:pPr>
            <w:r w:rsidRPr="00E66263">
              <w:rPr>
                <w:lang w:eastAsia="en-NZ"/>
              </w:rPr>
              <w:t>2</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68" w14:textId="77777777" w:rsidR="003741ED" w:rsidRPr="00E66263" w:rsidRDefault="003741ED" w:rsidP="00BE7C7A">
            <w:pPr>
              <w:pStyle w:val="TableText"/>
              <w:tabs>
                <w:tab w:val="decimal" w:pos="510"/>
              </w:tabs>
              <w:rPr>
                <w:lang w:eastAsia="en-NZ"/>
              </w:rPr>
            </w:pPr>
            <w:r w:rsidRPr="00E66263">
              <w:rPr>
                <w:lang w:eastAsia="en-NZ"/>
              </w:rPr>
              <w:t>13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69" w14:textId="77777777" w:rsidR="003741ED" w:rsidRPr="00E66263" w:rsidRDefault="003741ED" w:rsidP="0090649D">
            <w:pPr>
              <w:pStyle w:val="TableText"/>
              <w:rPr>
                <w:lang w:eastAsia="en-NZ"/>
              </w:rPr>
            </w:pPr>
            <w:r w:rsidRPr="00E66263">
              <w:rPr>
                <w:lang w:eastAsia="en-NZ"/>
              </w:rPr>
              <w:t>EpiSu</w:t>
            </w:r>
            <w:r w:rsidR="0090649D">
              <w:rPr>
                <w:lang w:eastAsia="en-NZ"/>
              </w:rPr>
              <w:t>r</w:t>
            </w:r>
            <w:r w:rsidRPr="00E66263">
              <w:rPr>
                <w:lang w:eastAsia="en-NZ"/>
              </w:rPr>
              <w:t>v</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6A" w14:textId="77777777" w:rsidR="003741ED" w:rsidRPr="00E66263" w:rsidRDefault="003741ED" w:rsidP="00BE7C7A">
            <w:pPr>
              <w:pStyle w:val="TableText"/>
            </w:pPr>
          </w:p>
        </w:tc>
      </w:tr>
      <w:tr w:rsidR="003741ED" w:rsidRPr="00E66263" w14:paraId="041E3073"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6C" w14:textId="77777777" w:rsidR="003741ED" w:rsidRPr="00E66263" w:rsidRDefault="003741ED" w:rsidP="00BE7C7A">
            <w:pPr>
              <w:pStyle w:val="TableText"/>
              <w:rPr>
                <w:lang w:eastAsia="en-NZ"/>
              </w:rPr>
            </w:pPr>
            <w:r w:rsidRPr="00E66263">
              <w:rPr>
                <w:lang w:eastAsia="en-NZ"/>
              </w:rPr>
              <w:t>2010</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6D" w14:textId="77777777" w:rsidR="003741ED" w:rsidRPr="00E66263" w:rsidRDefault="003741ED" w:rsidP="00BE7C7A">
            <w:pPr>
              <w:pStyle w:val="TableText"/>
              <w:rPr>
                <w:lang w:eastAsia="en-NZ"/>
              </w:rPr>
            </w:pPr>
            <w:r w:rsidRPr="00E66263">
              <w:rPr>
                <w:lang w:eastAsia="en-NZ"/>
              </w:rPr>
              <w:t>Golden Bay Holiday Park</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6E" w14:textId="77777777" w:rsidR="003741ED" w:rsidRPr="00E66263" w:rsidRDefault="003741ED" w:rsidP="00BE7C7A">
            <w:pPr>
              <w:pStyle w:val="TableText"/>
              <w:rPr>
                <w:lang w:eastAsia="en-NZ"/>
              </w:rPr>
            </w:pPr>
            <w:r w:rsidRPr="00E66263">
              <w:rPr>
                <w:lang w:eastAsia="en-NZ"/>
              </w:rPr>
              <w:t>Norovirus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6F" w14:textId="77777777" w:rsidR="003741ED" w:rsidRPr="00E66263" w:rsidRDefault="003741ED" w:rsidP="00BE7C7A">
            <w:pPr>
              <w:pStyle w:val="TableText"/>
              <w:tabs>
                <w:tab w:val="decimal" w:pos="525"/>
              </w:tabs>
              <w:rPr>
                <w:lang w:eastAsia="en-NZ"/>
              </w:rPr>
            </w:pP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70" w14:textId="77777777" w:rsidR="003741ED" w:rsidRPr="00E66263" w:rsidRDefault="003741ED" w:rsidP="00BE7C7A">
            <w:pPr>
              <w:pStyle w:val="TableText"/>
              <w:tabs>
                <w:tab w:val="decimal" w:pos="510"/>
              </w:tabs>
              <w:rPr>
                <w:lang w:eastAsia="en-NZ"/>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71" w14:textId="77777777" w:rsidR="003741ED" w:rsidRPr="00E66263" w:rsidRDefault="003741ED" w:rsidP="00BE7C7A">
            <w:pPr>
              <w:pStyle w:val="TableText"/>
              <w:rPr>
                <w:lang w:eastAsia="en-NZ"/>
              </w:rPr>
            </w:pPr>
            <w:r w:rsidRPr="00E66263">
              <w:rPr>
                <w:lang w:eastAsia="en-NZ"/>
              </w:rPr>
              <w:t>Nelson Mail</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72" w14:textId="77777777" w:rsidR="003741ED" w:rsidRPr="00E66263" w:rsidRDefault="00740533" w:rsidP="00BE7C7A">
            <w:pPr>
              <w:pStyle w:val="TableText"/>
              <w:rPr>
                <w:lang w:eastAsia="en-NZ"/>
              </w:rPr>
            </w:pPr>
            <w:hyperlink r:id="rId20" w:history="1">
              <w:r w:rsidR="003741ED" w:rsidRPr="00E66263">
                <w:rPr>
                  <w:rStyle w:val="Hyperlink"/>
                  <w:rFonts w:cs="Arial"/>
                  <w:szCs w:val="18"/>
                  <w:lang w:eastAsia="en-NZ"/>
                </w:rPr>
                <w:t>http://www.stuff.co.nz/nelson-mail/news/3655382/Lessons-from-norovirus-episode</w:t>
              </w:r>
            </w:hyperlink>
          </w:p>
        </w:tc>
      </w:tr>
      <w:tr w:rsidR="003741ED" w:rsidRPr="00E66263" w14:paraId="041E307B"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74" w14:textId="77777777" w:rsidR="003741ED" w:rsidRPr="00E66263" w:rsidRDefault="003741ED" w:rsidP="00BE7C7A">
            <w:pPr>
              <w:pStyle w:val="TableText"/>
              <w:rPr>
                <w:lang w:eastAsia="en-NZ"/>
              </w:rPr>
            </w:pPr>
            <w:r w:rsidRPr="00E66263">
              <w:rPr>
                <w:lang w:eastAsia="en-NZ"/>
              </w:rPr>
              <w:t>2010</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75" w14:textId="77777777" w:rsidR="003741ED" w:rsidRPr="00E66263" w:rsidRDefault="003741ED" w:rsidP="00BE7C7A">
            <w:pPr>
              <w:pStyle w:val="TableText"/>
              <w:rPr>
                <w:lang w:eastAsia="en-NZ"/>
              </w:rPr>
            </w:pPr>
            <w:r w:rsidRPr="00E66263">
              <w:rPr>
                <w:lang w:eastAsia="en-NZ"/>
              </w:rPr>
              <w:t>Waiouru Commanders</w:t>
            </w:r>
            <w:r>
              <w:rPr>
                <w:lang w:eastAsia="en-NZ"/>
              </w:rPr>
              <w:t>’</w:t>
            </w:r>
            <w:r w:rsidRPr="00E66263">
              <w:rPr>
                <w:lang w:eastAsia="en-NZ"/>
              </w:rPr>
              <w:t xml:space="preserve"> Course</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76" w14:textId="77777777" w:rsidR="003741ED" w:rsidRPr="00E66263" w:rsidRDefault="003741ED" w:rsidP="00BE7C7A">
            <w:pPr>
              <w:pStyle w:val="TableText"/>
              <w:rPr>
                <w:i/>
                <w:iCs/>
                <w:lang w:eastAsia="en-NZ"/>
              </w:rPr>
            </w:pPr>
            <w:r w:rsidRPr="00E66263">
              <w:rPr>
                <w:i/>
                <w:iCs/>
                <w:lang w:eastAsia="en-NZ"/>
              </w:rPr>
              <w:t>Campylobacter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77" w14:textId="77777777" w:rsidR="003741ED" w:rsidRPr="00E66263" w:rsidRDefault="003741ED" w:rsidP="00BE7C7A">
            <w:pPr>
              <w:pStyle w:val="TableText"/>
              <w:tabs>
                <w:tab w:val="decimal" w:pos="525"/>
              </w:tabs>
              <w:rPr>
                <w:lang w:eastAsia="en-NZ"/>
              </w:rPr>
            </w:pPr>
            <w:r w:rsidRPr="00E66263">
              <w:rPr>
                <w:lang w:eastAsia="en-NZ"/>
              </w:rPr>
              <w:t>1</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78" w14:textId="77777777" w:rsidR="003741ED" w:rsidRPr="00E66263" w:rsidRDefault="003741ED" w:rsidP="00BE7C7A">
            <w:pPr>
              <w:pStyle w:val="TableText"/>
              <w:tabs>
                <w:tab w:val="decimal" w:pos="510"/>
              </w:tabs>
              <w:rPr>
                <w:lang w:eastAsia="en-NZ"/>
              </w:rPr>
            </w:pPr>
            <w:r w:rsidRPr="00E66263">
              <w:rPr>
                <w:lang w:eastAsia="en-NZ"/>
              </w:rPr>
              <w:t>15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79" w14:textId="77777777" w:rsidR="003741ED" w:rsidRPr="00E66263" w:rsidRDefault="003741ED" w:rsidP="00BE7C7A">
            <w:pPr>
              <w:pStyle w:val="TableText"/>
              <w:rPr>
                <w:lang w:eastAsia="en-NZ"/>
              </w:rPr>
            </w:pPr>
            <w:r w:rsidRPr="00E66263">
              <w:rPr>
                <w:lang w:eastAsia="en-NZ"/>
              </w:rPr>
              <w:t>EpiSurv</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7A" w14:textId="77777777" w:rsidR="003741ED" w:rsidRPr="00E66263" w:rsidRDefault="003741ED" w:rsidP="00BE7C7A">
            <w:pPr>
              <w:pStyle w:val="TableText"/>
              <w:rPr>
                <w:lang w:eastAsia="en-NZ"/>
              </w:rPr>
            </w:pPr>
          </w:p>
        </w:tc>
      </w:tr>
      <w:tr w:rsidR="003741ED" w:rsidRPr="00E66263" w14:paraId="041E3083"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7C" w14:textId="77777777" w:rsidR="003741ED" w:rsidRPr="00E66263" w:rsidRDefault="003741ED" w:rsidP="00BE7C7A">
            <w:pPr>
              <w:pStyle w:val="TableText"/>
              <w:rPr>
                <w:lang w:eastAsia="en-NZ"/>
              </w:rPr>
            </w:pPr>
            <w:r w:rsidRPr="00E66263">
              <w:rPr>
                <w:lang w:eastAsia="en-NZ"/>
              </w:rPr>
              <w:t>2011</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7D" w14:textId="77777777" w:rsidR="003741ED" w:rsidRPr="00E66263" w:rsidRDefault="003741ED" w:rsidP="00BE7C7A">
            <w:pPr>
              <w:pStyle w:val="TableText"/>
              <w:rPr>
                <w:lang w:eastAsia="en-NZ"/>
              </w:rPr>
            </w:pPr>
            <w:r w:rsidRPr="00E66263">
              <w:rPr>
                <w:lang w:eastAsia="en-NZ"/>
              </w:rPr>
              <w:t>Runanga drinking-water supply</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7E" w14:textId="77777777" w:rsidR="003741ED" w:rsidRPr="00E66263" w:rsidRDefault="003741ED" w:rsidP="00BE7C7A">
            <w:pPr>
              <w:pStyle w:val="TableText"/>
              <w:rPr>
                <w:i/>
                <w:iCs/>
                <w:lang w:eastAsia="en-NZ"/>
              </w:rPr>
            </w:pPr>
            <w:r w:rsidRPr="00E66263">
              <w:rPr>
                <w:i/>
                <w:iCs/>
                <w:lang w:eastAsia="en-NZ"/>
              </w:rPr>
              <w:t>Campylobacter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7F" w14:textId="77777777" w:rsidR="003741ED" w:rsidRPr="00E66263" w:rsidRDefault="003741ED" w:rsidP="00BE7C7A">
            <w:pPr>
              <w:pStyle w:val="TableText"/>
              <w:tabs>
                <w:tab w:val="decimal" w:pos="525"/>
              </w:tabs>
              <w:rPr>
                <w:lang w:eastAsia="en-NZ"/>
              </w:rPr>
            </w:pPr>
            <w:r w:rsidRPr="00E66263">
              <w:rPr>
                <w:lang w:eastAsia="en-NZ"/>
              </w:rPr>
              <w:t>4</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80" w14:textId="77777777" w:rsidR="003741ED" w:rsidRPr="00E66263" w:rsidRDefault="003741ED" w:rsidP="00BE7C7A">
            <w:pPr>
              <w:pStyle w:val="TableText"/>
              <w:tabs>
                <w:tab w:val="decimal" w:pos="510"/>
              </w:tabs>
              <w:rPr>
                <w:lang w:eastAsia="en-NZ"/>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81" w14:textId="77777777" w:rsidR="003741ED" w:rsidRPr="00E66263" w:rsidRDefault="003741ED" w:rsidP="00BE7C7A">
            <w:pPr>
              <w:pStyle w:val="TableText"/>
              <w:rPr>
                <w:lang w:eastAsia="en-NZ"/>
              </w:rPr>
            </w:pPr>
            <w:r w:rsidRPr="00E66263">
              <w:rPr>
                <w:lang w:eastAsia="en-NZ"/>
              </w:rPr>
              <w:t>NZPHSR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82" w14:textId="77777777" w:rsidR="003741ED" w:rsidRPr="00E66263" w:rsidRDefault="00740533" w:rsidP="00BE7C7A">
            <w:pPr>
              <w:pStyle w:val="TableText"/>
              <w:rPr>
                <w:lang w:eastAsia="en-NZ"/>
              </w:rPr>
            </w:pPr>
            <w:hyperlink r:id="rId21" w:history="1">
              <w:r w:rsidR="003741ED" w:rsidRPr="00E66263">
                <w:rPr>
                  <w:rStyle w:val="Hyperlink"/>
                  <w:rFonts w:cs="Arial"/>
                  <w:szCs w:val="18"/>
                  <w:lang w:eastAsia="en-NZ"/>
                </w:rPr>
                <w:t>https://surv.esr.cri.nz/PDF_surveillance/NZPHSR/2012/NZPHSR2012Mar.pdf</w:t>
              </w:r>
            </w:hyperlink>
          </w:p>
        </w:tc>
      </w:tr>
      <w:tr w:rsidR="003741ED" w:rsidRPr="00E66263" w14:paraId="041E308B"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84" w14:textId="77777777" w:rsidR="003741ED" w:rsidRPr="00E66263" w:rsidRDefault="003741ED" w:rsidP="00BE7C7A">
            <w:pPr>
              <w:pStyle w:val="TableText"/>
              <w:rPr>
                <w:lang w:eastAsia="en-NZ"/>
              </w:rPr>
            </w:pPr>
            <w:r w:rsidRPr="00E66263">
              <w:rPr>
                <w:lang w:eastAsia="en-NZ"/>
              </w:rPr>
              <w:t>2012</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85" w14:textId="77777777" w:rsidR="003741ED" w:rsidRPr="00E66263" w:rsidRDefault="003741ED" w:rsidP="00BE7C7A">
            <w:pPr>
              <w:pStyle w:val="TableText"/>
              <w:rPr>
                <w:lang w:eastAsia="en-NZ"/>
              </w:rPr>
            </w:pPr>
            <w:r w:rsidRPr="00E66263">
              <w:rPr>
                <w:lang w:eastAsia="en-NZ"/>
              </w:rPr>
              <w:t>Darfield drinking-water supply</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86" w14:textId="77777777" w:rsidR="003741ED" w:rsidRPr="00E66263" w:rsidRDefault="003741ED" w:rsidP="00BE7C7A">
            <w:pPr>
              <w:pStyle w:val="TableText"/>
              <w:rPr>
                <w:i/>
                <w:iCs/>
                <w:lang w:eastAsia="en-NZ"/>
              </w:rPr>
            </w:pPr>
            <w:r w:rsidRPr="00E66263">
              <w:rPr>
                <w:i/>
                <w:iCs/>
                <w:lang w:eastAsia="en-NZ"/>
              </w:rPr>
              <w:t>Campylobacter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87" w14:textId="77777777" w:rsidR="003741ED" w:rsidRPr="00E66263" w:rsidRDefault="003741ED" w:rsidP="00BE7C7A">
            <w:pPr>
              <w:pStyle w:val="TableText"/>
              <w:tabs>
                <w:tab w:val="decimal" w:pos="525"/>
              </w:tabs>
              <w:rPr>
                <w:lang w:eastAsia="en-NZ"/>
              </w:rPr>
            </w:pPr>
            <w:r w:rsidRPr="00E66263">
              <w:rPr>
                <w:lang w:eastAsia="en-NZ"/>
              </w:rPr>
              <w:t>29</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88" w14:textId="77777777" w:rsidR="003741ED" w:rsidRPr="00E66263" w:rsidRDefault="003741ED" w:rsidP="00BE7C7A">
            <w:pPr>
              <w:pStyle w:val="TableText"/>
              <w:tabs>
                <w:tab w:val="decimal" w:pos="510"/>
              </w:tabs>
              <w:rPr>
                <w:lang w:eastAsia="en-NZ"/>
              </w:rPr>
            </w:pPr>
            <w:r w:rsidRPr="00E66263">
              <w:rPr>
                <w:lang w:eastAsia="en-NZ"/>
              </w:rPr>
              <w:t>138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89" w14:textId="77777777" w:rsidR="003741ED" w:rsidRPr="00E66263" w:rsidRDefault="003741ED" w:rsidP="00BE7C7A">
            <w:pPr>
              <w:pStyle w:val="TableText"/>
              <w:rPr>
                <w:lang w:eastAsia="en-NZ"/>
              </w:rPr>
            </w:pPr>
            <w:r w:rsidRPr="00E66263">
              <w:rPr>
                <w:lang w:eastAsia="en-NZ"/>
              </w:rPr>
              <w:t>J of Water and Health</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8A" w14:textId="77777777" w:rsidR="003741ED" w:rsidRPr="00E66263" w:rsidRDefault="00740533" w:rsidP="00BE7C7A">
            <w:pPr>
              <w:pStyle w:val="TableText"/>
              <w:rPr>
                <w:lang w:eastAsia="en-NZ"/>
              </w:rPr>
            </w:pPr>
            <w:hyperlink r:id="rId22" w:history="1">
              <w:r w:rsidR="003741ED" w:rsidRPr="00E66263">
                <w:rPr>
                  <w:rStyle w:val="Hyperlink"/>
                  <w:rFonts w:cs="Arial"/>
                  <w:szCs w:val="18"/>
                  <w:lang w:eastAsia="en-NZ"/>
                </w:rPr>
                <w:t>http://www.iwaponline.com/jwh/up/wh2014155.htm</w:t>
              </w:r>
            </w:hyperlink>
          </w:p>
        </w:tc>
      </w:tr>
      <w:tr w:rsidR="003741ED" w:rsidRPr="00E66263" w14:paraId="041E3093"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8C" w14:textId="77777777" w:rsidR="003741ED" w:rsidRPr="00E66263" w:rsidRDefault="003741ED" w:rsidP="00BE7C7A">
            <w:pPr>
              <w:pStyle w:val="TableText"/>
              <w:rPr>
                <w:lang w:eastAsia="en-NZ"/>
              </w:rPr>
            </w:pPr>
            <w:r w:rsidRPr="00E66263">
              <w:rPr>
                <w:lang w:eastAsia="en-NZ"/>
              </w:rPr>
              <w:t>2012</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8D" w14:textId="77777777" w:rsidR="003741ED" w:rsidRPr="00E66263" w:rsidRDefault="003741ED" w:rsidP="00BE7C7A">
            <w:pPr>
              <w:pStyle w:val="TableText"/>
              <w:rPr>
                <w:lang w:eastAsia="en-NZ"/>
              </w:rPr>
            </w:pPr>
            <w:r w:rsidRPr="00E66263">
              <w:rPr>
                <w:lang w:eastAsia="en-NZ"/>
              </w:rPr>
              <w:t>Hawke</w:t>
            </w:r>
            <w:r>
              <w:rPr>
                <w:lang w:eastAsia="en-NZ"/>
              </w:rPr>
              <w:t>’</w:t>
            </w:r>
            <w:r w:rsidRPr="00E66263">
              <w:rPr>
                <w:lang w:eastAsia="en-NZ"/>
              </w:rPr>
              <w:t>s Bay camping ground drinking-water</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8E" w14:textId="77777777" w:rsidR="003741ED" w:rsidRPr="00E66263" w:rsidRDefault="003741ED" w:rsidP="00BE7C7A">
            <w:pPr>
              <w:pStyle w:val="TableText"/>
              <w:rPr>
                <w:i/>
                <w:iCs/>
                <w:lang w:eastAsia="en-NZ"/>
              </w:rPr>
            </w:pPr>
            <w:r w:rsidRPr="00E66263">
              <w:rPr>
                <w:i/>
                <w:iCs/>
                <w:lang w:eastAsia="en-NZ"/>
              </w:rPr>
              <w:t>Campylobacter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8F" w14:textId="77777777" w:rsidR="003741ED" w:rsidRPr="00E66263" w:rsidRDefault="003741ED" w:rsidP="00BE7C7A">
            <w:pPr>
              <w:pStyle w:val="TableText"/>
              <w:tabs>
                <w:tab w:val="decimal" w:pos="525"/>
              </w:tabs>
              <w:rPr>
                <w:lang w:eastAsia="en-NZ"/>
              </w:rPr>
            </w:pPr>
            <w:r w:rsidRPr="00E66263">
              <w:rPr>
                <w:lang w:eastAsia="en-NZ"/>
              </w:rPr>
              <w:t>28</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90" w14:textId="77777777" w:rsidR="003741ED" w:rsidRPr="00E66263" w:rsidRDefault="003741ED" w:rsidP="00BE7C7A">
            <w:pPr>
              <w:pStyle w:val="TableText"/>
              <w:tabs>
                <w:tab w:val="decimal" w:pos="510"/>
              </w:tabs>
              <w:rPr>
                <w:lang w:eastAsia="en-NZ"/>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91" w14:textId="77777777" w:rsidR="003741ED" w:rsidRPr="00E66263" w:rsidRDefault="003741ED" w:rsidP="00BE7C7A">
            <w:pPr>
              <w:pStyle w:val="TableText"/>
              <w:rPr>
                <w:lang w:eastAsia="en-NZ"/>
              </w:rPr>
            </w:pPr>
            <w:r w:rsidRPr="00E66263">
              <w:rPr>
                <w:lang w:eastAsia="en-NZ"/>
              </w:rPr>
              <w:t>NZPHSR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92" w14:textId="77777777" w:rsidR="003741ED" w:rsidRPr="00E66263" w:rsidRDefault="00740533" w:rsidP="00BE7C7A">
            <w:pPr>
              <w:pStyle w:val="TableText"/>
              <w:rPr>
                <w:lang w:eastAsia="en-NZ"/>
              </w:rPr>
            </w:pPr>
            <w:hyperlink r:id="rId23" w:history="1">
              <w:r w:rsidR="003741ED" w:rsidRPr="00E66263">
                <w:rPr>
                  <w:rStyle w:val="Hyperlink"/>
                  <w:rFonts w:cs="Arial"/>
                  <w:szCs w:val="18"/>
                  <w:lang w:eastAsia="en-NZ"/>
                </w:rPr>
                <w:t>https://surv.esr.cri.nz/PDF_surveillance/NZPHSR/2012/NZPHSR2012Sep.pdf</w:t>
              </w:r>
            </w:hyperlink>
          </w:p>
        </w:tc>
      </w:tr>
      <w:tr w:rsidR="003741ED" w:rsidRPr="00E66263" w14:paraId="041E309B"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94" w14:textId="77777777" w:rsidR="003741ED" w:rsidRPr="00E66263" w:rsidRDefault="003741ED" w:rsidP="00BE7C7A">
            <w:pPr>
              <w:pStyle w:val="TableText"/>
              <w:rPr>
                <w:lang w:eastAsia="en-NZ"/>
              </w:rPr>
            </w:pPr>
            <w:r w:rsidRPr="00E66263">
              <w:rPr>
                <w:lang w:eastAsia="en-NZ"/>
              </w:rPr>
              <w:t>2012</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95" w14:textId="77777777" w:rsidR="003741ED" w:rsidRPr="00E66263" w:rsidRDefault="003741ED" w:rsidP="00BE7C7A">
            <w:pPr>
              <w:pStyle w:val="TableText"/>
              <w:rPr>
                <w:lang w:eastAsia="en-NZ"/>
              </w:rPr>
            </w:pPr>
            <w:r w:rsidRPr="00E66263">
              <w:rPr>
                <w:lang w:eastAsia="en-NZ"/>
              </w:rPr>
              <w:t xml:space="preserve">Cardrona Hotel </w:t>
            </w:r>
            <w:r>
              <w:rPr>
                <w:lang w:eastAsia="en-NZ"/>
              </w:rPr>
              <w:t>and</w:t>
            </w:r>
            <w:r w:rsidRPr="00E66263">
              <w:rPr>
                <w:lang w:eastAsia="en-NZ"/>
              </w:rPr>
              <w:t xml:space="preserve"> water supplies</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96" w14:textId="77777777" w:rsidR="003741ED" w:rsidRPr="00E66263" w:rsidRDefault="003741ED" w:rsidP="00BE7C7A">
            <w:pPr>
              <w:pStyle w:val="TableText"/>
              <w:rPr>
                <w:lang w:eastAsia="en-NZ"/>
              </w:rPr>
            </w:pPr>
            <w:r w:rsidRPr="00E66263">
              <w:rPr>
                <w:lang w:eastAsia="en-NZ"/>
              </w:rPr>
              <w:t>Norovirus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97" w14:textId="77777777" w:rsidR="003741ED" w:rsidRPr="00E66263" w:rsidRDefault="003741ED" w:rsidP="00BE7C7A">
            <w:pPr>
              <w:pStyle w:val="TableText"/>
              <w:tabs>
                <w:tab w:val="decimal" w:pos="525"/>
              </w:tabs>
              <w:rPr>
                <w:lang w:eastAsia="en-NZ"/>
              </w:rPr>
            </w:pPr>
            <w:r w:rsidRPr="00E66263">
              <w:rPr>
                <w:lang w:eastAsia="en-NZ"/>
              </w:rPr>
              <w:t>48</w:t>
            </w: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98" w14:textId="77777777" w:rsidR="003741ED" w:rsidRPr="00E66263" w:rsidRDefault="003741ED" w:rsidP="00BE7C7A">
            <w:pPr>
              <w:pStyle w:val="TableText"/>
              <w:tabs>
                <w:tab w:val="decimal" w:pos="510"/>
              </w:tabs>
              <w:rPr>
                <w:lang w:eastAsia="en-NZ"/>
              </w:rPr>
            </w:pPr>
            <w:r w:rsidRPr="00E66263">
              <w:rPr>
                <w:lang w:eastAsia="en-NZ"/>
              </w:rPr>
              <w:t>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99" w14:textId="77777777" w:rsidR="003741ED" w:rsidRPr="00E66263" w:rsidRDefault="003741ED" w:rsidP="00BE7C7A">
            <w:pPr>
              <w:pStyle w:val="TableText"/>
              <w:rPr>
                <w:lang w:eastAsia="en-NZ"/>
              </w:rPr>
            </w:pPr>
            <w:r w:rsidRPr="00E66263">
              <w:rPr>
                <w:lang w:eastAsia="en-NZ"/>
              </w:rPr>
              <w:t>NZMJ</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9A" w14:textId="77777777" w:rsidR="003741ED" w:rsidRPr="00E66263" w:rsidRDefault="00740533" w:rsidP="00BE7C7A">
            <w:pPr>
              <w:pStyle w:val="TableText"/>
              <w:rPr>
                <w:lang w:eastAsia="en-NZ"/>
              </w:rPr>
            </w:pPr>
            <w:hyperlink r:id="rId24" w:history="1">
              <w:r w:rsidR="003741ED" w:rsidRPr="00E66263">
                <w:rPr>
                  <w:rStyle w:val="Hyperlink"/>
                  <w:rFonts w:cs="Arial"/>
                  <w:szCs w:val="18"/>
                  <w:lang w:eastAsia="en-NZ"/>
                </w:rPr>
                <w:t>http://www.ncbi.nlm.nih.gov/pubmed/24362738</w:t>
              </w:r>
            </w:hyperlink>
          </w:p>
        </w:tc>
      </w:tr>
      <w:tr w:rsidR="003741ED" w:rsidRPr="00E66263" w14:paraId="041E30A3"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9C" w14:textId="77777777" w:rsidR="003741ED" w:rsidRPr="00E66263" w:rsidRDefault="003741ED" w:rsidP="00BE7C7A">
            <w:pPr>
              <w:pStyle w:val="TableText"/>
              <w:rPr>
                <w:lang w:eastAsia="en-NZ"/>
              </w:rPr>
            </w:pPr>
            <w:r w:rsidRPr="00E66263">
              <w:rPr>
                <w:lang w:eastAsia="en-NZ"/>
              </w:rPr>
              <w:t>2013</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9D" w14:textId="77777777" w:rsidR="003741ED" w:rsidRPr="00E66263" w:rsidRDefault="003741ED" w:rsidP="00BE7C7A">
            <w:pPr>
              <w:pStyle w:val="TableText"/>
              <w:rPr>
                <w:lang w:eastAsia="en-NZ"/>
              </w:rPr>
            </w:pPr>
            <w:r w:rsidRPr="00E66263">
              <w:rPr>
                <w:lang w:eastAsia="en-NZ"/>
              </w:rPr>
              <w:t>Nelson Lakes Scout camp</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9E" w14:textId="77777777" w:rsidR="003741ED" w:rsidRPr="00E66263" w:rsidRDefault="003741ED" w:rsidP="00BE7C7A">
            <w:pPr>
              <w:pStyle w:val="TableText"/>
              <w:rPr>
                <w:lang w:eastAsia="en-NZ"/>
              </w:rPr>
            </w:pPr>
            <w:r>
              <w:rPr>
                <w:lang w:eastAsia="en-NZ"/>
              </w:rPr>
              <w:t>Gastro –</w:t>
            </w:r>
            <w:r w:rsidRPr="00E66263">
              <w:rPr>
                <w:lang w:eastAsia="en-NZ"/>
              </w:rPr>
              <w:t xml:space="preserve"> unknown cause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9F" w14:textId="77777777" w:rsidR="003741ED" w:rsidRPr="00E66263" w:rsidRDefault="003741ED" w:rsidP="00BE7C7A">
            <w:pPr>
              <w:pStyle w:val="TableText"/>
              <w:tabs>
                <w:tab w:val="decimal" w:pos="525"/>
              </w:tabs>
              <w:rPr>
                <w:lang w:eastAsia="en-NZ"/>
              </w:rPr>
            </w:pP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hideMark/>
          </w:tcPr>
          <w:p w14:paraId="041E30A0" w14:textId="77777777" w:rsidR="003741ED" w:rsidRPr="00E66263" w:rsidRDefault="003741ED" w:rsidP="00BE7C7A">
            <w:pPr>
              <w:pStyle w:val="TableText"/>
              <w:tabs>
                <w:tab w:val="decimal" w:pos="510"/>
              </w:tabs>
              <w:rPr>
                <w:lang w:eastAsia="en-NZ"/>
              </w:rPr>
            </w:pPr>
            <w:r w:rsidRPr="00E66263">
              <w:rPr>
                <w:lang w:eastAsia="en-NZ"/>
              </w:rPr>
              <w:t>13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hideMark/>
          </w:tcPr>
          <w:p w14:paraId="041E30A1" w14:textId="77777777" w:rsidR="003741ED" w:rsidRPr="00E66263" w:rsidRDefault="003741ED" w:rsidP="00BE7C7A">
            <w:pPr>
              <w:pStyle w:val="TableText"/>
              <w:rPr>
                <w:lang w:eastAsia="en-NZ"/>
              </w:rPr>
            </w:pPr>
            <w:r w:rsidRPr="00E66263">
              <w:rPr>
                <w:lang w:eastAsia="en-NZ"/>
              </w:rPr>
              <w:t>EpiSurv</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hideMark/>
          </w:tcPr>
          <w:p w14:paraId="041E30A2" w14:textId="77777777" w:rsidR="003741ED" w:rsidRPr="00E66263" w:rsidRDefault="003741ED" w:rsidP="00BE7C7A">
            <w:pPr>
              <w:pStyle w:val="TableText"/>
              <w:rPr>
                <w:lang w:eastAsia="en-NZ"/>
              </w:rPr>
            </w:pPr>
          </w:p>
        </w:tc>
      </w:tr>
      <w:tr w:rsidR="003741ED" w:rsidRPr="00E66263" w14:paraId="041E30AB" w14:textId="77777777" w:rsidTr="00BE7C7A">
        <w:trPr>
          <w:cantSplit/>
        </w:trPr>
        <w:tc>
          <w:tcPr>
            <w:tcW w:w="70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A4" w14:textId="77777777" w:rsidR="003741ED" w:rsidRPr="00E66263" w:rsidRDefault="003741ED" w:rsidP="00BE7C7A">
            <w:pPr>
              <w:pStyle w:val="TableText"/>
              <w:rPr>
                <w:lang w:eastAsia="en-NZ"/>
              </w:rPr>
            </w:pPr>
            <w:r>
              <w:rPr>
                <w:lang w:eastAsia="en-NZ"/>
              </w:rPr>
              <w:t>2016</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A5" w14:textId="77777777" w:rsidR="003741ED" w:rsidRPr="00E66263" w:rsidRDefault="003741ED" w:rsidP="00BE7C7A">
            <w:pPr>
              <w:pStyle w:val="TableText"/>
              <w:rPr>
                <w:lang w:eastAsia="en-NZ"/>
              </w:rPr>
            </w:pPr>
            <w:r>
              <w:rPr>
                <w:lang w:eastAsia="en-NZ"/>
              </w:rPr>
              <w:t>Havelock North</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A6" w14:textId="77777777" w:rsidR="003741ED" w:rsidRPr="00E66263" w:rsidRDefault="003741ED" w:rsidP="00BE7C7A">
            <w:pPr>
              <w:pStyle w:val="TableText"/>
              <w:rPr>
                <w:lang w:eastAsia="en-NZ"/>
              </w:rPr>
            </w:pPr>
            <w:r w:rsidRPr="00E66263">
              <w:rPr>
                <w:i/>
                <w:iCs/>
                <w:lang w:eastAsia="en-NZ"/>
              </w:rPr>
              <w:t>Campylobacter</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A7" w14:textId="77777777" w:rsidR="003741ED" w:rsidRPr="00E66263" w:rsidRDefault="003741ED" w:rsidP="00BE7C7A">
            <w:pPr>
              <w:pStyle w:val="TableText"/>
              <w:tabs>
                <w:tab w:val="decimal" w:pos="525"/>
              </w:tabs>
              <w:rPr>
                <w:lang w:eastAsia="en-NZ"/>
              </w:rPr>
            </w:pPr>
          </w:p>
        </w:tc>
        <w:tc>
          <w:tcPr>
            <w:tcW w:w="85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noWrap/>
          </w:tcPr>
          <w:p w14:paraId="041E30A8" w14:textId="77777777" w:rsidR="003741ED" w:rsidRPr="00E66263" w:rsidRDefault="003741ED" w:rsidP="00BE7C7A">
            <w:pPr>
              <w:pStyle w:val="TableText"/>
              <w:tabs>
                <w:tab w:val="decimal" w:pos="510"/>
              </w:tabs>
              <w:rPr>
                <w:lang w:eastAsia="en-NZ"/>
              </w:rPr>
            </w:pPr>
            <w:r>
              <w:rPr>
                <w:lang w:eastAsia="en-NZ"/>
              </w:rPr>
              <w:t>5,500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41E30A9" w14:textId="77777777" w:rsidR="003741ED" w:rsidRPr="00E66263" w:rsidRDefault="003741ED" w:rsidP="00BE7C7A">
            <w:pPr>
              <w:pStyle w:val="TableText"/>
              <w:rPr>
                <w:lang w:eastAsia="en-NZ"/>
              </w:rPr>
            </w:pPr>
            <w:r>
              <w:rPr>
                <w:lang w:eastAsia="en-NZ"/>
              </w:rPr>
              <w:t>DIA</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noWrap/>
          </w:tcPr>
          <w:p w14:paraId="041E30AA" w14:textId="77777777" w:rsidR="003741ED" w:rsidRPr="00B67E3B" w:rsidRDefault="00740533" w:rsidP="00BE7C7A">
            <w:pPr>
              <w:pStyle w:val="TableText"/>
              <w:rPr>
                <w:lang w:eastAsia="en-NZ"/>
              </w:rPr>
            </w:pPr>
            <w:hyperlink r:id="rId25" w:history="1">
              <w:r w:rsidR="003741ED" w:rsidRPr="00BC3D45">
                <w:rPr>
                  <w:rStyle w:val="Hyperlink"/>
                  <w:szCs w:val="18"/>
                  <w:lang w:eastAsia="en-NZ"/>
                </w:rPr>
                <w:t>https://www.dia.govt.nz/Government-Inquiry-into-Havelock-North-Drinking-Water</w:t>
              </w:r>
            </w:hyperlink>
          </w:p>
        </w:tc>
      </w:tr>
    </w:tbl>
    <w:p w14:paraId="041E30AC" w14:textId="77777777" w:rsidR="003741ED" w:rsidRPr="00E66263" w:rsidRDefault="003741ED" w:rsidP="007C7205"/>
    <w:p w14:paraId="041E30AD" w14:textId="77777777" w:rsidR="007C7205" w:rsidRDefault="007C7205" w:rsidP="007C7205">
      <w:pPr>
        <w:pStyle w:val="Heading4"/>
        <w:sectPr w:rsidR="007C7205" w:rsidSect="007C7205">
          <w:footerReference w:type="default" r:id="rId26"/>
          <w:pgSz w:w="16834" w:h="11907" w:orient="landscape" w:code="9"/>
          <w:pgMar w:top="1134" w:right="1134" w:bottom="1134" w:left="1134" w:header="284" w:footer="425" w:gutter="0"/>
          <w:cols w:space="720"/>
          <w:docGrid w:linePitch="286"/>
        </w:sectPr>
      </w:pPr>
    </w:p>
    <w:p w14:paraId="041E30AE" w14:textId="77777777" w:rsidR="003741ED" w:rsidRPr="00990575" w:rsidRDefault="003741ED" w:rsidP="00516A27">
      <w:pPr>
        <w:pStyle w:val="Heading4-nonumbering"/>
      </w:pPr>
      <w:r>
        <w:t>Relevant terminology</w:t>
      </w:r>
    </w:p>
    <w:p w14:paraId="041E30AF" w14:textId="77777777" w:rsidR="003741ED" w:rsidRDefault="003741ED" w:rsidP="0096789E">
      <w:r w:rsidRPr="00990575">
        <w:rPr>
          <w:b/>
          <w:bCs/>
        </w:rPr>
        <w:t>Outbreak</w:t>
      </w:r>
      <w:r w:rsidRPr="00990575">
        <w:t xml:space="preserve"> is a term used in </w:t>
      </w:r>
      <w:hyperlink r:id="rId27" w:tgtFrame="_top" w:history="1">
        <w:r w:rsidRPr="00990575">
          <w:rPr>
            <w:rStyle w:val="Hyperlink"/>
            <w:color w:val="000000"/>
          </w:rPr>
          <w:t>epidemiology</w:t>
        </w:r>
      </w:hyperlink>
      <w:r w:rsidRPr="00990575">
        <w:t xml:space="preserve"> to describe an occurrence of disease greater than would otherwise be expected in a particular time and place.</w:t>
      </w:r>
      <w:r>
        <w:t xml:space="preserve"> </w:t>
      </w:r>
      <w:r w:rsidRPr="00990575">
        <w:t>I</w:t>
      </w:r>
      <w:r>
        <w:t>t may affect a small and localis</w:t>
      </w:r>
      <w:r w:rsidRPr="00990575">
        <w:t>ed group or impact upon thousands of people across an entire continent.</w:t>
      </w:r>
      <w:r>
        <w:t xml:space="preserve"> </w:t>
      </w:r>
      <w:r w:rsidRPr="00990575">
        <w:t xml:space="preserve">Two linked </w:t>
      </w:r>
      <w:r>
        <w:t>events</w:t>
      </w:r>
      <w:r w:rsidRPr="00990575">
        <w:t xml:space="preserve"> of a rare infectious disease may be sufficient to constitute an outbreak.</w:t>
      </w:r>
      <w:r>
        <w:t xml:space="preserve"> </w:t>
      </w:r>
      <w:r w:rsidRPr="00990575">
        <w:t>The outbreak detection level is determined by epidemiologists on the basis of their knowledge of the disease under consideration.</w:t>
      </w:r>
      <w:r>
        <w:t xml:space="preserve"> </w:t>
      </w:r>
      <w:r w:rsidRPr="00990575">
        <w:t xml:space="preserve">Outbreaks may also refer to </w:t>
      </w:r>
      <w:hyperlink r:id="rId28" w:tgtFrame="_top" w:history="1">
        <w:r w:rsidRPr="00990575">
          <w:rPr>
            <w:rStyle w:val="Hyperlink"/>
            <w:color w:val="000000"/>
          </w:rPr>
          <w:t>epidemics</w:t>
        </w:r>
      </w:hyperlink>
      <w:r w:rsidRPr="00990575">
        <w:t xml:space="preserve">, which affect a region in a country or a group of countries, or </w:t>
      </w:r>
      <w:hyperlink r:id="rId29" w:tgtFrame="_top" w:history="1">
        <w:r w:rsidRPr="00990575">
          <w:rPr>
            <w:rStyle w:val="Hyperlink"/>
            <w:color w:val="000000"/>
          </w:rPr>
          <w:t>pandemics</w:t>
        </w:r>
      </w:hyperlink>
      <w:r w:rsidRPr="00990575">
        <w:t>, which describe global disease outbreaks.</w:t>
      </w:r>
    </w:p>
    <w:p w14:paraId="041E30B0" w14:textId="77777777" w:rsidR="003741ED" w:rsidRDefault="003741ED" w:rsidP="0096789E"/>
    <w:p w14:paraId="041E30B1" w14:textId="77777777" w:rsidR="003741ED" w:rsidRDefault="003741ED" w:rsidP="003741ED">
      <w:r w:rsidRPr="002B67CA">
        <w:rPr>
          <w:b/>
        </w:rPr>
        <w:t xml:space="preserve">The disease </w:t>
      </w:r>
      <w:r>
        <w:rPr>
          <w:b/>
        </w:rPr>
        <w:t xml:space="preserve">incidence </w:t>
      </w:r>
      <w:r w:rsidRPr="002B67CA">
        <w:rPr>
          <w:b/>
        </w:rPr>
        <w:t>r</w:t>
      </w:r>
      <w:r w:rsidRPr="004740B0">
        <w:rPr>
          <w:b/>
        </w:rPr>
        <w:t>ate</w:t>
      </w:r>
      <w:r w:rsidRPr="004740B0">
        <w:t xml:space="preserve"> is </w:t>
      </w:r>
      <w:r>
        <w:t>usually</w:t>
      </w:r>
      <w:r w:rsidRPr="004740B0">
        <w:t xml:space="preserve"> reported as the number of cases per 100,000 people per annum. Sometimes </w:t>
      </w:r>
      <w:r w:rsidRPr="004740B0">
        <w:rPr>
          <w:b/>
        </w:rPr>
        <w:t>disease burden</w:t>
      </w:r>
      <w:r w:rsidRPr="004740B0">
        <w:t xml:space="preserve"> is used</w:t>
      </w:r>
      <w:r>
        <w:t xml:space="preserve"> (DALY – see section 1.6.2)</w:t>
      </w:r>
      <w:r w:rsidRPr="004740B0">
        <w:t>; this incorpor</w:t>
      </w:r>
      <w:r w:rsidRPr="0096789E">
        <w:t>a</w:t>
      </w:r>
      <w:r w:rsidRPr="004740B0">
        <w:t xml:space="preserve">tes the duration of the illness </w:t>
      </w:r>
      <w:r>
        <w:t xml:space="preserve">and its consequences </w:t>
      </w:r>
      <w:r w:rsidRPr="004740B0">
        <w:t>and gives a better idea of how serious the outbreak may be. For example, a norovirus infection may last one or two days, but cryptosporidiosis may persist for more than two weeks.</w:t>
      </w:r>
    </w:p>
    <w:p w14:paraId="041E30B2" w14:textId="77777777" w:rsidR="003741ED" w:rsidRPr="003832F1" w:rsidRDefault="003741ED" w:rsidP="0096789E">
      <w:pPr>
        <w:spacing w:before="90"/>
        <w:ind w:left="567" w:hanging="567"/>
        <w:rPr>
          <w:lang w:eastAsia="en-NZ"/>
        </w:rPr>
      </w:pPr>
      <w:r>
        <w:rPr>
          <w:bCs/>
          <w:lang w:eastAsia="en-NZ"/>
        </w:rPr>
        <w:t>1</w:t>
      </w:r>
      <w:r>
        <w:rPr>
          <w:bCs/>
          <w:lang w:eastAsia="en-NZ"/>
        </w:rPr>
        <w:tab/>
      </w:r>
      <w:r w:rsidRPr="003832F1">
        <w:rPr>
          <w:b/>
          <w:bCs/>
          <w:lang w:eastAsia="en-NZ"/>
        </w:rPr>
        <w:t>Sporadic disease:</w:t>
      </w:r>
      <w:r w:rsidRPr="003832F1">
        <w:rPr>
          <w:bCs/>
          <w:lang w:eastAsia="en-NZ"/>
        </w:rPr>
        <w:t xml:space="preserve"> </w:t>
      </w:r>
      <w:r w:rsidRPr="003832F1">
        <w:rPr>
          <w:lang w:eastAsia="en-NZ"/>
        </w:rPr>
        <w:t xml:space="preserve">A </w:t>
      </w:r>
      <w:r w:rsidRPr="003832F1">
        <w:rPr>
          <w:i/>
          <w:iCs/>
          <w:lang w:eastAsia="en-NZ"/>
        </w:rPr>
        <w:t>sporadic disease</w:t>
      </w:r>
      <w:r w:rsidRPr="003832F1">
        <w:rPr>
          <w:lang w:eastAsia="en-NZ"/>
        </w:rPr>
        <w:t xml:space="preserve"> is one that occurs only occasionally in a population (ie, </w:t>
      </w:r>
      <w:r>
        <w:rPr>
          <w:lang w:eastAsia="en-NZ"/>
        </w:rPr>
        <w:t>normally absent and unpredictable</w:t>
      </w:r>
      <w:r w:rsidRPr="003832F1">
        <w:rPr>
          <w:lang w:eastAsia="en-NZ"/>
        </w:rPr>
        <w:t>).</w:t>
      </w:r>
    </w:p>
    <w:p w14:paraId="041E30B3" w14:textId="77777777" w:rsidR="003741ED" w:rsidRPr="003832F1" w:rsidRDefault="003741ED" w:rsidP="0096789E">
      <w:pPr>
        <w:spacing w:before="90"/>
        <w:ind w:left="567" w:hanging="567"/>
        <w:rPr>
          <w:lang w:eastAsia="en-NZ"/>
        </w:rPr>
      </w:pPr>
      <w:r>
        <w:rPr>
          <w:bCs/>
          <w:lang w:eastAsia="en-NZ"/>
        </w:rPr>
        <w:t>2</w:t>
      </w:r>
      <w:r>
        <w:rPr>
          <w:bCs/>
          <w:lang w:eastAsia="en-NZ"/>
        </w:rPr>
        <w:tab/>
      </w:r>
      <w:r w:rsidRPr="003832F1">
        <w:rPr>
          <w:b/>
          <w:bCs/>
          <w:lang w:eastAsia="en-NZ"/>
        </w:rPr>
        <w:t>Endemic disease:</w:t>
      </w:r>
      <w:r w:rsidRPr="003832F1">
        <w:rPr>
          <w:bCs/>
          <w:lang w:eastAsia="en-NZ"/>
        </w:rPr>
        <w:t xml:space="preserve"> </w:t>
      </w:r>
      <w:r w:rsidRPr="003832F1">
        <w:rPr>
          <w:lang w:eastAsia="en-NZ"/>
        </w:rPr>
        <w:t xml:space="preserve">An </w:t>
      </w:r>
      <w:r w:rsidRPr="003832F1">
        <w:rPr>
          <w:i/>
          <w:lang w:eastAsia="en-NZ"/>
        </w:rPr>
        <w:t>endemic disease</w:t>
      </w:r>
      <w:r w:rsidRPr="003832F1">
        <w:rPr>
          <w:lang w:eastAsia="en-NZ"/>
        </w:rPr>
        <w:t xml:space="preserve"> is one that is always present in a population</w:t>
      </w:r>
      <w:r>
        <w:rPr>
          <w:lang w:eastAsia="en-NZ"/>
        </w:rPr>
        <w:t>, with a predictable resolution or in a predictable way,</w:t>
      </w:r>
      <w:r w:rsidRPr="003832F1">
        <w:rPr>
          <w:lang w:eastAsia="en-NZ"/>
        </w:rPr>
        <w:t xml:space="preserve"> </w:t>
      </w:r>
      <w:r>
        <w:rPr>
          <w:lang w:eastAsia="en-NZ"/>
        </w:rPr>
        <w:t>with no external inputs needed</w:t>
      </w:r>
      <w:r w:rsidRPr="003832F1">
        <w:rPr>
          <w:lang w:eastAsia="en-NZ"/>
        </w:rPr>
        <w:t>.</w:t>
      </w:r>
    </w:p>
    <w:p w14:paraId="041E30B4" w14:textId="77777777" w:rsidR="003741ED" w:rsidRPr="003832F1" w:rsidRDefault="003741ED" w:rsidP="0096789E">
      <w:pPr>
        <w:spacing w:before="90"/>
        <w:ind w:left="567" w:hanging="567"/>
        <w:rPr>
          <w:lang w:eastAsia="en-NZ"/>
        </w:rPr>
      </w:pPr>
      <w:r>
        <w:rPr>
          <w:bCs/>
          <w:lang w:eastAsia="en-NZ"/>
        </w:rPr>
        <w:t>3</w:t>
      </w:r>
      <w:r>
        <w:rPr>
          <w:bCs/>
          <w:lang w:eastAsia="en-NZ"/>
        </w:rPr>
        <w:tab/>
      </w:r>
      <w:r w:rsidRPr="003832F1">
        <w:rPr>
          <w:b/>
          <w:bCs/>
          <w:lang w:eastAsia="en-NZ"/>
        </w:rPr>
        <w:t>Epidemic disease:</w:t>
      </w:r>
      <w:r w:rsidRPr="003832F1">
        <w:rPr>
          <w:bCs/>
          <w:lang w:eastAsia="en-NZ"/>
        </w:rPr>
        <w:t xml:space="preserve"> </w:t>
      </w:r>
      <w:r w:rsidRPr="003832F1">
        <w:rPr>
          <w:lang w:eastAsia="en-NZ"/>
        </w:rPr>
        <w:t xml:space="preserve">An </w:t>
      </w:r>
      <w:r w:rsidRPr="003832F1">
        <w:rPr>
          <w:i/>
          <w:lang w:eastAsia="en-NZ"/>
        </w:rPr>
        <w:t>epidemic disease</w:t>
      </w:r>
      <w:r w:rsidRPr="003832F1">
        <w:rPr>
          <w:lang w:eastAsia="en-NZ"/>
        </w:rPr>
        <w:t xml:space="preserve"> is a disease that many people acquire over a short period (ie, </w:t>
      </w:r>
      <w:r>
        <w:rPr>
          <w:lang w:eastAsia="en-NZ"/>
        </w:rPr>
        <w:t xml:space="preserve">with suddenly </w:t>
      </w:r>
      <w:r w:rsidRPr="003832F1">
        <w:rPr>
          <w:lang w:eastAsia="en-NZ"/>
        </w:rPr>
        <w:t>increasing incidence).</w:t>
      </w:r>
    </w:p>
    <w:p w14:paraId="041E30B5" w14:textId="77777777" w:rsidR="003741ED" w:rsidRDefault="003741ED" w:rsidP="0096789E"/>
    <w:p w14:paraId="041E30B6" w14:textId="77777777" w:rsidR="003741ED" w:rsidRPr="00990575" w:rsidRDefault="003741ED" w:rsidP="0096789E">
      <w:r w:rsidRPr="00990575">
        <w:t>Fig</w:t>
      </w:r>
      <w:r>
        <w:t>ure</w:t>
      </w:r>
      <w:r w:rsidRPr="00990575">
        <w:t xml:space="preserve"> 1.1</w:t>
      </w:r>
      <w:r>
        <w:t>,</w:t>
      </w:r>
      <w:r w:rsidRPr="00990575">
        <w:t xml:space="preserve"> </w:t>
      </w:r>
      <w:r>
        <w:t>a</w:t>
      </w:r>
      <w:r w:rsidRPr="00990575">
        <w:t xml:space="preserve">mended from Frost </w:t>
      </w:r>
      <w:r w:rsidR="004A00B0">
        <w:t>et al</w:t>
      </w:r>
      <w:r>
        <w:t xml:space="preserve"> 2003 by</w:t>
      </w:r>
      <w:r w:rsidRPr="003832F1">
        <w:t xml:space="preserve"> Craun </w:t>
      </w:r>
      <w:r w:rsidR="004A00B0">
        <w:t>et al</w:t>
      </w:r>
      <w:r w:rsidRPr="003832F1">
        <w:t xml:space="preserve"> 2004</w:t>
      </w:r>
      <w:r>
        <w:t xml:space="preserve">, </w:t>
      </w:r>
      <w:r w:rsidRPr="00990575">
        <w:t>illustrates the difference between outbreaks of disease</w:t>
      </w:r>
      <w:r>
        <w:t xml:space="preserve"> (epidemic)</w:t>
      </w:r>
      <w:r w:rsidRPr="00990575">
        <w:t xml:space="preserve"> and endemic or sporadic disease occurrences.</w:t>
      </w:r>
      <w:r>
        <w:t xml:space="preserve"> </w:t>
      </w:r>
      <w:r w:rsidRPr="00990575">
        <w:t>Fig</w:t>
      </w:r>
      <w:r>
        <w:t>ure </w:t>
      </w:r>
      <w:r w:rsidRPr="00990575">
        <w:t>1.1</w:t>
      </w:r>
      <w:r>
        <w:t xml:space="preserve"> shows there will be an underlying disease incidence below the reporting level.</w:t>
      </w:r>
    </w:p>
    <w:p w14:paraId="041E30B7" w14:textId="77777777" w:rsidR="003741ED" w:rsidRPr="00990575" w:rsidRDefault="003741ED" w:rsidP="0096789E"/>
    <w:p w14:paraId="041E30B8" w14:textId="77777777" w:rsidR="003741ED" w:rsidRPr="000357AE" w:rsidRDefault="003741ED" w:rsidP="0096789E">
      <w:pPr>
        <w:pStyle w:val="Figure"/>
      </w:pPr>
      <w:bookmarkStart w:id="26" w:name="_Toc8979361"/>
      <w:r w:rsidRPr="000357AE">
        <w:t>Figure 1.1: Epidemic versus endemic/sporadic disease</w:t>
      </w:r>
      <w:bookmarkEnd w:id="26"/>
    </w:p>
    <w:p w14:paraId="041E30B9" w14:textId="77777777" w:rsidR="003741ED" w:rsidRPr="00047E57" w:rsidRDefault="003741ED" w:rsidP="0096789E">
      <w:r>
        <w:rPr>
          <w:noProof/>
          <w:lang w:eastAsia="en-NZ"/>
        </w:rPr>
        <w:drawing>
          <wp:inline distT="0" distB="0" distL="0" distR="0" wp14:anchorId="041E3598" wp14:editId="041E3599">
            <wp:extent cx="5203767" cy="3126875"/>
            <wp:effectExtent l="0" t="0" r="0" b="0"/>
            <wp:docPr id="13" name="Picture 1" descr="Figure 1.1: Epidemic versus endemic/sporadic disease" title="Figure 1.1: Epidemic versus endemic/sporadic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1: Epidemic versus endemic/sporadic disease"/>
                    <pic:cNvPicPr>
                      <a:picLocks noChangeAspect="1" noChangeArrowheads="1"/>
                    </pic:cNvPicPr>
                  </pic:nvPicPr>
                  <pic:blipFill>
                    <a:blip r:embed="rId30">
                      <a:extLst>
                        <a:ext uri="{28A0092B-C50C-407E-A947-70E740481C1C}">
                          <a14:useLocalDpi xmlns:a14="http://schemas.microsoft.com/office/drawing/2010/main" val="0"/>
                        </a:ext>
                      </a:extLst>
                    </a:blip>
                    <a:srcRect t="1605" b="2788"/>
                    <a:stretch>
                      <a:fillRect/>
                    </a:stretch>
                  </pic:blipFill>
                  <pic:spPr bwMode="auto">
                    <a:xfrm>
                      <a:off x="0" y="0"/>
                      <a:ext cx="5204116" cy="3127085"/>
                    </a:xfrm>
                    <a:prstGeom prst="rect">
                      <a:avLst/>
                    </a:prstGeom>
                    <a:noFill/>
                    <a:ln>
                      <a:noFill/>
                    </a:ln>
                  </pic:spPr>
                </pic:pic>
              </a:graphicData>
            </a:graphic>
          </wp:inline>
        </w:drawing>
      </w:r>
    </w:p>
    <w:p w14:paraId="041E30BA" w14:textId="77777777" w:rsidR="003741ED" w:rsidRPr="00990575" w:rsidRDefault="003741ED" w:rsidP="0096789E"/>
    <w:p w14:paraId="041E30BB" w14:textId="77777777" w:rsidR="003741ED" w:rsidRPr="00320B23" w:rsidRDefault="003741ED" w:rsidP="0096789E">
      <w:pPr>
        <w:pStyle w:val="Heading3"/>
      </w:pPr>
      <w:bookmarkStart w:id="27" w:name="_Toc362013174"/>
      <w:bookmarkStart w:id="28" w:name="_Toc364704280"/>
      <w:bookmarkStart w:id="29" w:name="_Toc2333418"/>
      <w:bookmarkStart w:id="30" w:name="_Toc8979303"/>
      <w:r w:rsidRPr="00320B23">
        <w:t>T</w:t>
      </w:r>
      <w:r>
        <w:t>he cost of providing potable drinking-water</w:t>
      </w:r>
      <w:bookmarkEnd w:id="27"/>
      <w:bookmarkEnd w:id="28"/>
      <w:bookmarkEnd w:id="29"/>
      <w:bookmarkEnd w:id="30"/>
    </w:p>
    <w:p w14:paraId="041E30BC" w14:textId="77777777" w:rsidR="003741ED" w:rsidRPr="00990575" w:rsidRDefault="003741ED" w:rsidP="0096789E">
      <w:r w:rsidRPr="00990575">
        <w:t xml:space="preserve">Water that complies with the DWSNZ </w:t>
      </w:r>
      <w:r>
        <w:t>should</w:t>
      </w:r>
      <w:r w:rsidRPr="00990575">
        <w:t xml:space="preserve"> be safe to drink.</w:t>
      </w:r>
      <w:r>
        <w:t xml:space="preserve"> </w:t>
      </w:r>
      <w:r w:rsidRPr="00990575">
        <w:t>Since 1995 a number of attempts have been made to determine how much it will cost to upgrade all N</w:t>
      </w:r>
      <w:r w:rsidR="0096789E">
        <w:t xml:space="preserve">ew </w:t>
      </w:r>
      <w:r w:rsidRPr="00990575">
        <w:t>Z</w:t>
      </w:r>
      <w:r w:rsidR="0096789E">
        <w:t>ealand</w:t>
      </w:r>
      <w:r w:rsidRPr="00990575">
        <w:t xml:space="preserve"> drinking-water supplies to enable them to comply with the DWSNZ.</w:t>
      </w:r>
    </w:p>
    <w:p w14:paraId="041E30BD" w14:textId="77777777" w:rsidR="003741ED" w:rsidRPr="00990575" w:rsidRDefault="003741ED" w:rsidP="0096789E"/>
    <w:p w14:paraId="041E30BE" w14:textId="77777777" w:rsidR="003741ED" w:rsidRPr="00990575" w:rsidRDefault="003741ED" w:rsidP="0096789E">
      <w:r w:rsidRPr="00990575">
        <w:t>Two classes of expenditure must be considered:</w:t>
      </w:r>
    </w:p>
    <w:p w14:paraId="041E30BF" w14:textId="77777777" w:rsidR="003741ED" w:rsidRPr="00A05F16" w:rsidRDefault="003741ED" w:rsidP="0096789E">
      <w:pPr>
        <w:pStyle w:val="Bullet"/>
      </w:pPr>
      <w:r w:rsidRPr="00A05F16">
        <w:t>CAPEX</w:t>
      </w:r>
      <w:r>
        <w:t xml:space="preserve"> – </w:t>
      </w:r>
      <w:r w:rsidRPr="00A05F16">
        <w:t>the capital expenditure required to provide treatment facilities that are capable of delivering compliant water</w:t>
      </w:r>
    </w:p>
    <w:p w14:paraId="041E30C0" w14:textId="77777777" w:rsidR="003741ED" w:rsidRPr="00A05F16" w:rsidRDefault="003741ED" w:rsidP="0096789E">
      <w:pPr>
        <w:pStyle w:val="Bullet"/>
      </w:pPr>
      <w:r w:rsidRPr="00A05F16">
        <w:t xml:space="preserve">OPEX – the cost </w:t>
      </w:r>
      <w:r>
        <w:t xml:space="preserve">of </w:t>
      </w:r>
      <w:r w:rsidRPr="00A05F16">
        <w:t>operating the water supply system and monitoring its performance.</w:t>
      </w:r>
      <w:r>
        <w:t xml:space="preserve"> </w:t>
      </w:r>
      <w:r w:rsidRPr="00A05F16">
        <w:t>Note that this should (but doesn</w:t>
      </w:r>
      <w:r>
        <w:t>’</w:t>
      </w:r>
      <w:r w:rsidRPr="00A05F16">
        <w:t>t always!) include maintenance.</w:t>
      </w:r>
    </w:p>
    <w:p w14:paraId="041E30C1" w14:textId="77777777" w:rsidR="003741ED" w:rsidRDefault="003741ED" w:rsidP="0096789E"/>
    <w:p w14:paraId="041E30C2" w14:textId="77777777" w:rsidR="003741ED" w:rsidRPr="00990575" w:rsidRDefault="003741ED" w:rsidP="0096789E">
      <w:r w:rsidRPr="00990575">
        <w:t>Prior to 2000</w:t>
      </w:r>
      <w:r>
        <w:t>,</w:t>
      </w:r>
      <w:r w:rsidRPr="00990575">
        <w:t xml:space="preserve"> </w:t>
      </w:r>
      <w:r>
        <w:t>Local Government NZ (</w:t>
      </w:r>
      <w:r w:rsidRPr="00990575">
        <w:t>LGNZ</w:t>
      </w:r>
      <w:r>
        <w:t>)</w:t>
      </w:r>
      <w:r w:rsidRPr="00990575">
        <w:t xml:space="preserve"> made attempts to estimate these costs for local authority operated supplies, but found it difficult to obtain adequate data.</w:t>
      </w:r>
    </w:p>
    <w:p w14:paraId="041E30C3" w14:textId="77777777" w:rsidR="003741ED" w:rsidRPr="00990575" w:rsidRDefault="003741ED" w:rsidP="0096789E"/>
    <w:p w14:paraId="041E30C4" w14:textId="77777777" w:rsidR="003741ED" w:rsidRPr="00990575" w:rsidRDefault="003741ED" w:rsidP="0096789E">
      <w:r w:rsidRPr="00990575">
        <w:t xml:space="preserve">Prior to the passage of the Health (Drinking Water) Amendment Act in 2007 the Ministry of Health sponsored two major studies on the costs of providing </w:t>
      </w:r>
      <w:r>
        <w:t xml:space="preserve">treatment </w:t>
      </w:r>
      <w:r w:rsidRPr="00990575">
        <w:t xml:space="preserve">plants capable of providing </w:t>
      </w:r>
      <w:r>
        <w:t>potable</w:t>
      </w:r>
      <w:r w:rsidRPr="00990575">
        <w:t xml:space="preserve"> drinking-water:</w:t>
      </w:r>
    </w:p>
    <w:p w14:paraId="041E30C5" w14:textId="77777777" w:rsidR="003741ED" w:rsidRPr="00990575" w:rsidRDefault="003741ED" w:rsidP="0096789E">
      <w:pPr>
        <w:pStyle w:val="Bullet"/>
      </w:pPr>
      <w:r w:rsidRPr="00990575">
        <w:t xml:space="preserve">in 2001 Beca </w:t>
      </w:r>
      <w:r>
        <w:t>Steven</w:t>
      </w:r>
      <w:r w:rsidRPr="00990575">
        <w:t xml:space="preserve"> estimated the costs as $269.50 to $290.40 million (Beca 2001)</w:t>
      </w:r>
    </w:p>
    <w:p w14:paraId="041E30C6" w14:textId="77777777" w:rsidR="003741ED" w:rsidRPr="00990575" w:rsidRDefault="003741ED" w:rsidP="0096789E">
      <w:pPr>
        <w:pStyle w:val="Bullet"/>
      </w:pPr>
      <w:r>
        <w:t>i</w:t>
      </w:r>
      <w:r w:rsidRPr="00990575">
        <w:t>n 2004 Roseveare and Yeabsley o</w:t>
      </w:r>
      <w:r>
        <w:t>f OMS (OMS 2004) estimated the:</w:t>
      </w:r>
    </w:p>
    <w:p w14:paraId="041E30C7" w14:textId="77777777" w:rsidR="003741ED" w:rsidRPr="00990575" w:rsidRDefault="003741ED" w:rsidP="0096789E">
      <w:pPr>
        <w:pStyle w:val="Dash"/>
      </w:pPr>
      <w:r w:rsidRPr="00990575">
        <w:t>Capex as $329.8 million</w:t>
      </w:r>
    </w:p>
    <w:p w14:paraId="041E30C8" w14:textId="77777777" w:rsidR="003741ED" w:rsidRPr="00990575" w:rsidRDefault="003741ED" w:rsidP="0096789E">
      <w:pPr>
        <w:pStyle w:val="Dash"/>
      </w:pPr>
      <w:r w:rsidRPr="00990575">
        <w:t>Opex as $4.3 million per year.</w:t>
      </w:r>
    </w:p>
    <w:p w14:paraId="041E30C9" w14:textId="77777777" w:rsidR="003741ED" w:rsidRPr="00990575" w:rsidRDefault="003741ED" w:rsidP="0096789E"/>
    <w:p w14:paraId="041E30CA" w14:textId="77777777" w:rsidR="003741ED" w:rsidRPr="00990575" w:rsidRDefault="003741ED" w:rsidP="0096789E">
      <w:r>
        <w:t>The authors</w:t>
      </w:r>
      <w:r w:rsidRPr="00990575">
        <w:t xml:space="preserve"> noted the wide error band of the estimates.</w:t>
      </w:r>
      <w:r>
        <w:t xml:space="preserve"> </w:t>
      </w:r>
      <w:r w:rsidRPr="00990575">
        <w:t>The uncertainties arise from:</w:t>
      </w:r>
    </w:p>
    <w:p w14:paraId="041E30CB" w14:textId="77777777" w:rsidR="003741ED" w:rsidRPr="00A05F16" w:rsidRDefault="003741ED" w:rsidP="0096789E">
      <w:pPr>
        <w:pStyle w:val="Bullet"/>
      </w:pPr>
      <w:r>
        <w:t>t</w:t>
      </w:r>
      <w:r w:rsidRPr="00A05F16">
        <w:t>he unknown number of small water supplies that are not operated by local authorities and are not on the Register.</w:t>
      </w:r>
      <w:r>
        <w:t xml:space="preserve"> </w:t>
      </w:r>
      <w:r w:rsidRPr="00A05F16">
        <w:t>Some 1500 of these were registered, but many m</w:t>
      </w:r>
      <w:r>
        <w:t>ore were thought to exist</w:t>
      </w:r>
    </w:p>
    <w:p w14:paraId="041E30CC" w14:textId="77777777" w:rsidR="003741ED" w:rsidRPr="00A05F16" w:rsidRDefault="003741ED" w:rsidP="0096789E">
      <w:pPr>
        <w:pStyle w:val="Bullet"/>
      </w:pPr>
      <w:r>
        <w:t>t</w:t>
      </w:r>
      <w:r w:rsidRPr="00A05F16">
        <w:t>he variable standard of the existing facil</w:t>
      </w:r>
      <w:r>
        <w:t>ities. Although many were well-</w:t>
      </w:r>
      <w:r w:rsidRPr="00A05F16">
        <w:t>maintained and serviceable, a significant number were inadequate or very poorly maintained and would be expensive to bring up to a serviceable standard.</w:t>
      </w:r>
    </w:p>
    <w:p w14:paraId="041E30CD" w14:textId="77777777" w:rsidR="003741ED" w:rsidRDefault="003741ED" w:rsidP="0096789E"/>
    <w:p w14:paraId="041E30CE" w14:textId="77777777" w:rsidR="003741ED" w:rsidRPr="004C76FC" w:rsidRDefault="003741ED" w:rsidP="0096789E">
      <w:r w:rsidRPr="004C76FC">
        <w:t>It is interesting to note that the US 1996 SDWA Amendments mandated that information about treatment technology performance and affordability be developed for small systems (&lt;10,000 population).</w:t>
      </w:r>
      <w:r>
        <w:t xml:space="preserve"> </w:t>
      </w:r>
      <w:r w:rsidRPr="004C76FC">
        <w:t xml:space="preserve">Affordability criteria </w:t>
      </w:r>
      <w:r>
        <w:t xml:space="preserve">(for </w:t>
      </w:r>
      <w:r w:rsidRPr="004C76FC">
        <w:t xml:space="preserve">the annual cost </w:t>
      </w:r>
      <w:r>
        <w:t>of drinking-water)</w:t>
      </w:r>
      <w:r w:rsidRPr="004C76FC">
        <w:t xml:space="preserve"> are based on a threshold of 2.5</w:t>
      </w:r>
      <w:r>
        <w:t> percent</w:t>
      </w:r>
      <w:r w:rsidRPr="004C76FC">
        <w:t xml:space="preserve"> </w:t>
      </w:r>
      <w:r>
        <w:t>of the median household income (quoted from USEPA 2003).</w:t>
      </w:r>
    </w:p>
    <w:p w14:paraId="041E30CF" w14:textId="77777777" w:rsidR="003741ED" w:rsidRDefault="003741ED" w:rsidP="0096789E"/>
    <w:p w14:paraId="041E30D0" w14:textId="77777777" w:rsidR="003741ED" w:rsidRDefault="003741ED" w:rsidP="0096789E">
      <w:r>
        <w:t xml:space="preserve">The OECD (2011) notes that </w:t>
      </w:r>
      <w:r w:rsidRPr="000554F8">
        <w:t>the full magnitude of the benefits of water services is seldom considered for a number of reasons.</w:t>
      </w:r>
      <w:r>
        <w:t xml:space="preserve"> </w:t>
      </w:r>
      <w:r w:rsidRPr="000554F8">
        <w:t>Non-economic benefits that are difficult to quantify but that are of high value to the concerned individuals and society, ie</w:t>
      </w:r>
      <w:r>
        <w:t>,</w:t>
      </w:r>
      <w:r w:rsidRPr="000554F8">
        <w:t xml:space="preserve"> non-use values, dignity, social statu</w:t>
      </w:r>
      <w:r>
        <w:t>s, cleanliness and overall well</w:t>
      </w:r>
      <w:r w:rsidRPr="000554F8">
        <w:t>being</w:t>
      </w:r>
      <w:r>
        <w:t>,</w:t>
      </w:r>
      <w:r w:rsidRPr="000554F8">
        <w:t xml:space="preserve"> are frequently under-estimated.</w:t>
      </w:r>
    </w:p>
    <w:p w14:paraId="041E30D1" w14:textId="77777777" w:rsidR="003741ED" w:rsidRDefault="003741ED" w:rsidP="0096789E"/>
    <w:p w14:paraId="041E30D2" w14:textId="77777777" w:rsidR="003741ED" w:rsidRPr="00320B23" w:rsidRDefault="003741ED" w:rsidP="0096789E">
      <w:pPr>
        <w:pStyle w:val="Heading3"/>
      </w:pPr>
      <w:bookmarkStart w:id="31" w:name="_Toc362013175"/>
      <w:bookmarkStart w:id="32" w:name="_Toc364704281"/>
      <w:bookmarkStart w:id="33" w:name="_Toc2333419"/>
      <w:bookmarkStart w:id="34" w:name="_Toc8979304"/>
      <w:r>
        <w:t>T</w:t>
      </w:r>
      <w:r w:rsidRPr="00320B23">
        <w:t xml:space="preserve">he benefits of </w:t>
      </w:r>
      <w:r>
        <w:t>potable</w:t>
      </w:r>
      <w:r w:rsidRPr="00320B23">
        <w:t xml:space="preserve"> drinking-water supplies</w:t>
      </w:r>
      <w:bookmarkEnd w:id="31"/>
      <w:bookmarkEnd w:id="32"/>
      <w:bookmarkEnd w:id="33"/>
      <w:bookmarkEnd w:id="34"/>
    </w:p>
    <w:p w14:paraId="041E30D3" w14:textId="77777777" w:rsidR="003741ED" w:rsidRDefault="003741ED" w:rsidP="0096789E">
      <w:r w:rsidRPr="00990575">
        <w:t xml:space="preserve">OMS (2004) estimated the direct annual benefit of illness avoidance by controlling </w:t>
      </w:r>
      <w:r>
        <w:t>waterborne disease in New Zealand at $13 million to $</w:t>
      </w:r>
      <w:r w:rsidRPr="00990575">
        <w:t>37</w:t>
      </w:r>
      <w:r>
        <w:t xml:space="preserve"> million</w:t>
      </w:r>
      <w:r w:rsidRPr="00990575">
        <w:t xml:space="preserve"> a year on the basis of the notified waterborne enteric disease data of 18,000 cases in 1999 (</w:t>
      </w:r>
      <w:r>
        <w:t>t</w:t>
      </w:r>
      <w:r w:rsidRPr="00990575">
        <w:t>he last full year of data available at the time) (assessed as costs foregone).</w:t>
      </w:r>
    </w:p>
    <w:p w14:paraId="041E30D4" w14:textId="77777777" w:rsidR="003741ED" w:rsidRPr="00990575" w:rsidRDefault="003741ED" w:rsidP="0096789E"/>
    <w:p w14:paraId="041E30D5" w14:textId="77777777" w:rsidR="003741ED" w:rsidRPr="00990575" w:rsidRDefault="003741ED" w:rsidP="0096789E">
      <w:r w:rsidRPr="00990575">
        <w:t>The data from 1986 to 2004 were later systematically reviewed by Ball of ESR in 2006.</w:t>
      </w:r>
      <w:r>
        <w:t xml:space="preserve"> </w:t>
      </w:r>
      <w:r w:rsidRPr="00990575">
        <w:t>Ball concluded that the number of cases per year was at least 34,000, which would give a much higher benefit than that calculated by OMS</w:t>
      </w:r>
      <w:r>
        <w:t>.</w:t>
      </w:r>
    </w:p>
    <w:p w14:paraId="041E30D6" w14:textId="77777777" w:rsidR="003741ED" w:rsidRPr="00990575" w:rsidRDefault="003741ED" w:rsidP="0096789E"/>
    <w:p w14:paraId="041E30D7" w14:textId="77777777" w:rsidR="003741ED" w:rsidRPr="00990575" w:rsidRDefault="003741ED" w:rsidP="0096789E">
      <w:r w:rsidRPr="00990575">
        <w:t>OMS noted that an uncertain level of unknown additional benefits arose from:</w:t>
      </w:r>
    </w:p>
    <w:p w14:paraId="041E30D8" w14:textId="77777777" w:rsidR="003741ED" w:rsidRPr="00A05F16" w:rsidRDefault="003741ED" w:rsidP="0096789E">
      <w:pPr>
        <w:pStyle w:val="Bullet"/>
      </w:pPr>
      <w:r w:rsidRPr="00A05F16">
        <w:t>protecting the sanctity of the public drinking-water infrastructure (analogous to the sanctity of the blood bank)</w:t>
      </w:r>
    </w:p>
    <w:p w14:paraId="041E30D9" w14:textId="77777777" w:rsidR="003741ED" w:rsidRPr="00A05F16" w:rsidRDefault="003741ED" w:rsidP="0096789E">
      <w:pPr>
        <w:pStyle w:val="Bullet"/>
      </w:pPr>
      <w:r w:rsidRPr="00A05F16">
        <w:t>equality of</w:t>
      </w:r>
      <w:r>
        <w:t xml:space="preserve"> access to a basic human right/</w:t>
      </w:r>
      <w:r w:rsidRPr="00A05F16">
        <w:t>need</w:t>
      </w:r>
    </w:p>
    <w:p w14:paraId="041E30DA" w14:textId="77777777" w:rsidR="003741ED" w:rsidRPr="00A05F16" w:rsidRDefault="003741ED" w:rsidP="0096789E">
      <w:pPr>
        <w:pStyle w:val="Bullet"/>
      </w:pPr>
      <w:r w:rsidRPr="00A05F16">
        <w:t xml:space="preserve">maintaining the </w:t>
      </w:r>
      <w:r>
        <w:t>‘</w:t>
      </w:r>
      <w:r w:rsidRPr="00A05F16">
        <w:t>New Zealand brand</w:t>
      </w:r>
      <w:r>
        <w:t>’</w:t>
      </w:r>
      <w:r w:rsidRPr="00A05F16">
        <w:t xml:space="preserve"> in terms of our clean, green and secure environment in the eyes of the overseas community for food exports, and as a destination for immigration and tourism</w:t>
      </w:r>
    </w:p>
    <w:p w14:paraId="041E30DB" w14:textId="77777777" w:rsidR="003741ED" w:rsidRPr="00A05F16" w:rsidRDefault="003741ED" w:rsidP="0096789E">
      <w:pPr>
        <w:pStyle w:val="Bullet"/>
      </w:pPr>
      <w:r w:rsidRPr="00A05F16">
        <w:t xml:space="preserve">the benefits of </w:t>
      </w:r>
      <w:r>
        <w:t>the interventions included time-</w:t>
      </w:r>
      <w:r w:rsidRPr="00A05F16">
        <w:t xml:space="preserve">savings associated with better access to water and sanitation facilities, the gain in productive time due to less time spent </w:t>
      </w:r>
      <w:r>
        <w:t xml:space="preserve">being </w:t>
      </w:r>
      <w:r w:rsidRPr="00A05F16">
        <w:t>ill, health sector and patients</w:t>
      </w:r>
      <w:r>
        <w:t>’</w:t>
      </w:r>
      <w:r w:rsidRPr="00A05F16">
        <w:t xml:space="preserve"> costs saved due to less treatment of diarrhoeal diseases, and the value of prevented deaths.</w:t>
      </w:r>
    </w:p>
    <w:p w14:paraId="041E30DC" w14:textId="77777777" w:rsidR="003741ED" w:rsidRDefault="003741ED" w:rsidP="0096789E">
      <w:pPr>
        <w:jc w:val="right"/>
      </w:pPr>
    </w:p>
    <w:p w14:paraId="041E30DD" w14:textId="77777777" w:rsidR="003741ED" w:rsidRPr="00320B23" w:rsidRDefault="003741ED" w:rsidP="0096789E">
      <w:pPr>
        <w:pStyle w:val="Table"/>
      </w:pPr>
      <w:bookmarkStart w:id="35" w:name="_Toc349567960"/>
      <w:bookmarkStart w:id="36" w:name="_Toc364675927"/>
      <w:bookmarkStart w:id="37" w:name="_Toc2333599"/>
      <w:bookmarkStart w:id="38" w:name="_Toc8979357"/>
      <w:r w:rsidRPr="00320B23">
        <w:t>Table 1.4: Economic benefits arising from water and sanitation improvements</w:t>
      </w:r>
      <w:bookmarkEnd w:id="35"/>
      <w:bookmarkEnd w:id="36"/>
      <w:bookmarkEnd w:id="37"/>
      <w:bookmarkEnd w:id="38"/>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1134"/>
        <w:gridCol w:w="2410"/>
        <w:gridCol w:w="2220"/>
        <w:gridCol w:w="2316"/>
      </w:tblGrid>
      <w:tr w:rsidR="003741ED" w:rsidRPr="0096789E" w14:paraId="041E30E2" w14:textId="77777777" w:rsidTr="0096789E">
        <w:trPr>
          <w:cantSplit/>
          <w:tblHeader/>
        </w:trPr>
        <w:tc>
          <w:tcPr>
            <w:tcW w:w="1134" w:type="dxa"/>
            <w:tcBorders>
              <w:top w:val="nil"/>
              <w:bottom w:val="nil"/>
            </w:tcBorders>
            <w:shd w:val="clear" w:color="auto" w:fill="D9D9D9" w:themeFill="background1" w:themeFillShade="D9"/>
          </w:tcPr>
          <w:p w14:paraId="041E30DE" w14:textId="77777777" w:rsidR="003741ED" w:rsidRPr="0096789E" w:rsidRDefault="003741ED" w:rsidP="00A51AA8">
            <w:pPr>
              <w:pStyle w:val="TableText"/>
              <w:keepNext/>
              <w:ind w:right="113"/>
              <w:rPr>
                <w:b/>
              </w:rPr>
            </w:pPr>
            <w:r w:rsidRPr="0096789E">
              <w:rPr>
                <w:b/>
              </w:rPr>
              <w:t>Beneficiary</w:t>
            </w:r>
          </w:p>
        </w:tc>
        <w:tc>
          <w:tcPr>
            <w:tcW w:w="2410" w:type="dxa"/>
            <w:tcBorders>
              <w:top w:val="nil"/>
              <w:bottom w:val="nil"/>
            </w:tcBorders>
            <w:shd w:val="clear" w:color="auto" w:fill="D9D9D9" w:themeFill="background1" w:themeFillShade="D9"/>
          </w:tcPr>
          <w:p w14:paraId="041E30DF" w14:textId="77777777" w:rsidR="003741ED" w:rsidRPr="0096789E" w:rsidRDefault="003741ED" w:rsidP="00A51AA8">
            <w:pPr>
              <w:pStyle w:val="TableText"/>
              <w:keepNext/>
              <w:ind w:right="113"/>
              <w:rPr>
                <w:b/>
              </w:rPr>
            </w:pPr>
            <w:r w:rsidRPr="0096789E">
              <w:rPr>
                <w:b/>
              </w:rPr>
              <w:t>Direct economic benefits of avoiding diarrhoeal disease</w:t>
            </w:r>
          </w:p>
        </w:tc>
        <w:tc>
          <w:tcPr>
            <w:tcW w:w="2220" w:type="dxa"/>
            <w:tcBorders>
              <w:top w:val="nil"/>
              <w:bottom w:val="nil"/>
            </w:tcBorders>
            <w:shd w:val="clear" w:color="auto" w:fill="D9D9D9" w:themeFill="background1" w:themeFillShade="D9"/>
          </w:tcPr>
          <w:p w14:paraId="041E30E0" w14:textId="77777777" w:rsidR="003741ED" w:rsidRPr="0096789E" w:rsidRDefault="003741ED" w:rsidP="00A51AA8">
            <w:pPr>
              <w:pStyle w:val="TableText"/>
              <w:keepNext/>
              <w:ind w:right="113"/>
              <w:rPr>
                <w:b/>
              </w:rPr>
            </w:pPr>
            <w:r w:rsidRPr="0096789E">
              <w:rPr>
                <w:b/>
              </w:rPr>
              <w:t>Indirect economic benefits related to health improvement</w:t>
            </w:r>
          </w:p>
        </w:tc>
        <w:tc>
          <w:tcPr>
            <w:tcW w:w="2316" w:type="dxa"/>
            <w:tcBorders>
              <w:top w:val="nil"/>
              <w:bottom w:val="nil"/>
            </w:tcBorders>
            <w:shd w:val="clear" w:color="auto" w:fill="D9D9D9" w:themeFill="background1" w:themeFillShade="D9"/>
          </w:tcPr>
          <w:p w14:paraId="041E30E1" w14:textId="77777777" w:rsidR="003741ED" w:rsidRPr="0096789E" w:rsidRDefault="003741ED" w:rsidP="00A51AA8">
            <w:pPr>
              <w:pStyle w:val="TableText"/>
              <w:keepNext/>
              <w:rPr>
                <w:b/>
              </w:rPr>
            </w:pPr>
            <w:r w:rsidRPr="0096789E">
              <w:rPr>
                <w:b/>
              </w:rPr>
              <w:t>Non-health benefits related to water and sanitation improvement</w:t>
            </w:r>
          </w:p>
        </w:tc>
      </w:tr>
      <w:tr w:rsidR="003741ED" w:rsidRPr="00EA1542" w14:paraId="041E30E7" w14:textId="77777777" w:rsidTr="0096789E">
        <w:trPr>
          <w:cantSplit/>
        </w:trPr>
        <w:tc>
          <w:tcPr>
            <w:tcW w:w="1134" w:type="dxa"/>
            <w:tcBorders>
              <w:top w:val="nil"/>
            </w:tcBorders>
            <w:shd w:val="clear" w:color="auto" w:fill="auto"/>
          </w:tcPr>
          <w:p w14:paraId="041E30E3" w14:textId="77777777" w:rsidR="003741ED" w:rsidRPr="00EA1542" w:rsidRDefault="003741ED" w:rsidP="00A51AA8">
            <w:pPr>
              <w:pStyle w:val="TableText"/>
              <w:keepNext/>
              <w:ind w:right="113"/>
            </w:pPr>
            <w:r w:rsidRPr="00EA1542">
              <w:t>Health sector</w:t>
            </w:r>
          </w:p>
        </w:tc>
        <w:tc>
          <w:tcPr>
            <w:tcW w:w="2410" w:type="dxa"/>
            <w:tcBorders>
              <w:top w:val="nil"/>
            </w:tcBorders>
            <w:shd w:val="clear" w:color="auto" w:fill="auto"/>
          </w:tcPr>
          <w:p w14:paraId="041E30E4" w14:textId="77777777" w:rsidR="003741ED" w:rsidRPr="00EA1542" w:rsidRDefault="003741ED" w:rsidP="00A51AA8">
            <w:pPr>
              <w:pStyle w:val="TableText"/>
              <w:keepNext/>
              <w:ind w:right="113"/>
            </w:pPr>
            <w:r w:rsidRPr="00EA1542">
              <w:t>Less expenditure on treatment of diarrhoeal disease</w:t>
            </w:r>
          </w:p>
        </w:tc>
        <w:tc>
          <w:tcPr>
            <w:tcW w:w="2220" w:type="dxa"/>
            <w:tcBorders>
              <w:top w:val="nil"/>
            </w:tcBorders>
            <w:shd w:val="clear" w:color="auto" w:fill="auto"/>
          </w:tcPr>
          <w:p w14:paraId="041E30E5" w14:textId="77777777" w:rsidR="003741ED" w:rsidRPr="00EA1542" w:rsidRDefault="003741ED" w:rsidP="00A51AA8">
            <w:pPr>
              <w:pStyle w:val="TableText"/>
              <w:keepNext/>
              <w:ind w:right="113"/>
            </w:pPr>
            <w:r w:rsidRPr="00EA1542">
              <w:t>Value of fewer health workers falling sick with diarrhoea</w:t>
            </w:r>
          </w:p>
        </w:tc>
        <w:tc>
          <w:tcPr>
            <w:tcW w:w="2316" w:type="dxa"/>
            <w:tcBorders>
              <w:top w:val="nil"/>
            </w:tcBorders>
            <w:shd w:val="clear" w:color="auto" w:fill="auto"/>
          </w:tcPr>
          <w:p w14:paraId="041E30E6" w14:textId="77777777" w:rsidR="003741ED" w:rsidRPr="00EA1542" w:rsidRDefault="003741ED" w:rsidP="00A51AA8">
            <w:pPr>
              <w:pStyle w:val="TableText"/>
              <w:keepNext/>
            </w:pPr>
            <w:r w:rsidRPr="00EA1542">
              <w:t>More efficiently managed water resources and effects on vector bionomics</w:t>
            </w:r>
          </w:p>
        </w:tc>
      </w:tr>
      <w:tr w:rsidR="003741ED" w:rsidRPr="00EA1542" w14:paraId="041E30F0" w14:textId="77777777" w:rsidTr="0096789E">
        <w:trPr>
          <w:cantSplit/>
        </w:trPr>
        <w:tc>
          <w:tcPr>
            <w:tcW w:w="1134" w:type="dxa"/>
            <w:tcBorders>
              <w:top w:val="single" w:sz="4" w:space="0" w:color="A6A6A6" w:themeColor="background1" w:themeShade="A6"/>
            </w:tcBorders>
            <w:shd w:val="clear" w:color="auto" w:fill="auto"/>
          </w:tcPr>
          <w:p w14:paraId="041E30E8" w14:textId="77777777" w:rsidR="003741ED" w:rsidRPr="00EA1542" w:rsidRDefault="003741ED" w:rsidP="00A51AA8">
            <w:pPr>
              <w:pStyle w:val="TableText"/>
              <w:keepNext/>
              <w:ind w:right="113"/>
            </w:pPr>
            <w:r w:rsidRPr="00EA1542">
              <w:t>Patients</w:t>
            </w:r>
          </w:p>
        </w:tc>
        <w:tc>
          <w:tcPr>
            <w:tcW w:w="2410" w:type="dxa"/>
            <w:tcBorders>
              <w:top w:val="single" w:sz="4" w:space="0" w:color="A6A6A6" w:themeColor="background1" w:themeShade="A6"/>
            </w:tcBorders>
            <w:shd w:val="clear" w:color="auto" w:fill="auto"/>
          </w:tcPr>
          <w:p w14:paraId="041E30E9" w14:textId="77777777" w:rsidR="003741ED" w:rsidRPr="00EA1542" w:rsidRDefault="003741ED" w:rsidP="00A51AA8">
            <w:pPr>
              <w:pStyle w:val="TableText"/>
              <w:keepNext/>
              <w:ind w:right="113"/>
            </w:pPr>
            <w:r w:rsidRPr="00EA1542">
              <w:t>Less expenditure on treatment of diarrhoeal disease and fewer related costs</w:t>
            </w:r>
          </w:p>
          <w:p w14:paraId="041E30EA" w14:textId="77777777" w:rsidR="003741ED" w:rsidRPr="00EA1542" w:rsidRDefault="003741ED" w:rsidP="00A51AA8">
            <w:pPr>
              <w:pStyle w:val="TableText"/>
              <w:keepNext/>
              <w:ind w:right="113"/>
            </w:pPr>
            <w:r w:rsidRPr="00EA1542">
              <w:t>Less expenditure on transport in seeking treatment</w:t>
            </w:r>
          </w:p>
          <w:p w14:paraId="041E30EB" w14:textId="77777777" w:rsidR="003741ED" w:rsidRPr="00EA1542" w:rsidRDefault="003741ED" w:rsidP="00A51AA8">
            <w:pPr>
              <w:pStyle w:val="TableText"/>
              <w:keepNext/>
              <w:ind w:right="113"/>
            </w:pPr>
            <w:r w:rsidRPr="00EA1542">
              <w:t>Less time lost in seeking treatment</w:t>
            </w:r>
          </w:p>
        </w:tc>
        <w:tc>
          <w:tcPr>
            <w:tcW w:w="2220" w:type="dxa"/>
            <w:tcBorders>
              <w:top w:val="single" w:sz="4" w:space="0" w:color="A6A6A6" w:themeColor="background1" w:themeShade="A6"/>
            </w:tcBorders>
            <w:shd w:val="clear" w:color="auto" w:fill="auto"/>
          </w:tcPr>
          <w:p w14:paraId="041E30EC" w14:textId="77777777" w:rsidR="003741ED" w:rsidRPr="00EA1542" w:rsidRDefault="003741ED" w:rsidP="00A51AA8">
            <w:pPr>
              <w:pStyle w:val="TableText"/>
              <w:keepNext/>
              <w:ind w:right="113"/>
            </w:pPr>
            <w:r w:rsidRPr="00EA1542">
              <w:t>Value of avoided days lost at work or at school</w:t>
            </w:r>
          </w:p>
          <w:p w14:paraId="041E30ED" w14:textId="77777777" w:rsidR="003741ED" w:rsidRPr="00EA1542" w:rsidRDefault="003741ED" w:rsidP="00A51AA8">
            <w:pPr>
              <w:pStyle w:val="TableText"/>
              <w:keepNext/>
              <w:ind w:right="113"/>
            </w:pPr>
            <w:r w:rsidRPr="00EA1542">
              <w:t>Value of avoided time lost of parent or carer of sick children</w:t>
            </w:r>
          </w:p>
          <w:p w14:paraId="041E30EE" w14:textId="77777777" w:rsidR="003741ED" w:rsidRPr="00EA1542" w:rsidRDefault="003741ED" w:rsidP="00A51AA8">
            <w:pPr>
              <w:pStyle w:val="TableText"/>
              <w:keepNext/>
              <w:ind w:right="113"/>
            </w:pPr>
            <w:r w:rsidRPr="00EA1542">
              <w:t>Value of loss of death avoided</w:t>
            </w:r>
          </w:p>
        </w:tc>
        <w:tc>
          <w:tcPr>
            <w:tcW w:w="2316" w:type="dxa"/>
            <w:tcBorders>
              <w:top w:val="single" w:sz="4" w:space="0" w:color="A6A6A6" w:themeColor="background1" w:themeShade="A6"/>
            </w:tcBorders>
            <w:shd w:val="clear" w:color="auto" w:fill="auto"/>
          </w:tcPr>
          <w:p w14:paraId="041E30EF" w14:textId="77777777" w:rsidR="003741ED" w:rsidRPr="00EA1542" w:rsidRDefault="003741ED" w:rsidP="00A51AA8">
            <w:pPr>
              <w:pStyle w:val="TableText"/>
              <w:keepNext/>
            </w:pPr>
            <w:r w:rsidRPr="00EA1542">
              <w:t>More efficiently managed water resources and effects on vector bionomics</w:t>
            </w:r>
          </w:p>
        </w:tc>
      </w:tr>
      <w:tr w:rsidR="003741ED" w:rsidRPr="00EA1542" w14:paraId="041E30F9" w14:textId="77777777" w:rsidTr="0096789E">
        <w:trPr>
          <w:cantSplit/>
        </w:trPr>
        <w:tc>
          <w:tcPr>
            <w:tcW w:w="1134" w:type="dxa"/>
            <w:tcBorders>
              <w:top w:val="single" w:sz="4" w:space="0" w:color="A6A6A6" w:themeColor="background1" w:themeShade="A6"/>
            </w:tcBorders>
            <w:shd w:val="clear" w:color="auto" w:fill="auto"/>
          </w:tcPr>
          <w:p w14:paraId="041E30F1" w14:textId="77777777" w:rsidR="003741ED" w:rsidRPr="00EA1542" w:rsidRDefault="003741ED" w:rsidP="00A51AA8">
            <w:pPr>
              <w:pStyle w:val="TableText"/>
              <w:keepNext/>
              <w:ind w:right="113"/>
            </w:pPr>
            <w:r w:rsidRPr="00EA1542">
              <w:t>Consumers</w:t>
            </w:r>
          </w:p>
        </w:tc>
        <w:tc>
          <w:tcPr>
            <w:tcW w:w="2410" w:type="dxa"/>
            <w:tcBorders>
              <w:top w:val="single" w:sz="4" w:space="0" w:color="A6A6A6" w:themeColor="background1" w:themeShade="A6"/>
            </w:tcBorders>
            <w:shd w:val="clear" w:color="auto" w:fill="auto"/>
          </w:tcPr>
          <w:p w14:paraId="041E30F2" w14:textId="77777777" w:rsidR="003741ED" w:rsidRPr="00EA1542" w:rsidRDefault="003741ED" w:rsidP="00A51AA8">
            <w:pPr>
              <w:pStyle w:val="TableText"/>
              <w:keepNext/>
              <w:ind w:right="113"/>
            </w:pPr>
          </w:p>
        </w:tc>
        <w:tc>
          <w:tcPr>
            <w:tcW w:w="2220" w:type="dxa"/>
            <w:tcBorders>
              <w:top w:val="single" w:sz="4" w:space="0" w:color="A6A6A6" w:themeColor="background1" w:themeShade="A6"/>
            </w:tcBorders>
            <w:shd w:val="clear" w:color="auto" w:fill="auto"/>
          </w:tcPr>
          <w:p w14:paraId="041E30F3" w14:textId="77777777" w:rsidR="003741ED" w:rsidRPr="00EA1542" w:rsidRDefault="003741ED" w:rsidP="00A51AA8">
            <w:pPr>
              <w:pStyle w:val="TableText"/>
              <w:keepNext/>
              <w:ind w:right="113"/>
            </w:pPr>
          </w:p>
        </w:tc>
        <w:tc>
          <w:tcPr>
            <w:tcW w:w="2316" w:type="dxa"/>
            <w:tcBorders>
              <w:top w:val="single" w:sz="4" w:space="0" w:color="A6A6A6" w:themeColor="background1" w:themeShade="A6"/>
            </w:tcBorders>
            <w:shd w:val="clear" w:color="auto" w:fill="auto"/>
          </w:tcPr>
          <w:p w14:paraId="041E30F4" w14:textId="77777777" w:rsidR="003741ED" w:rsidRPr="00EA1542" w:rsidRDefault="003741ED" w:rsidP="00A51AA8">
            <w:pPr>
              <w:pStyle w:val="TableText"/>
              <w:keepNext/>
            </w:pPr>
            <w:r w:rsidRPr="00EA1542">
              <w:t>Time savings related to water collection or accessing sanitary facilities</w:t>
            </w:r>
          </w:p>
          <w:p w14:paraId="041E30F5" w14:textId="77777777" w:rsidR="003741ED" w:rsidRPr="00EA1542" w:rsidRDefault="003741ED" w:rsidP="00A51AA8">
            <w:pPr>
              <w:pStyle w:val="TableText"/>
              <w:keepNext/>
            </w:pPr>
            <w:r w:rsidRPr="00EA1542">
              <w:t>Labour saving devices in the household</w:t>
            </w:r>
          </w:p>
          <w:p w14:paraId="041E30F6" w14:textId="77777777" w:rsidR="003741ED" w:rsidRPr="00EA1542" w:rsidRDefault="003741ED" w:rsidP="00A51AA8">
            <w:pPr>
              <w:pStyle w:val="TableText"/>
              <w:keepNext/>
            </w:pPr>
            <w:r w:rsidRPr="00EA1542">
              <w:t>Switch away from more expensive water sources</w:t>
            </w:r>
          </w:p>
          <w:p w14:paraId="041E30F7" w14:textId="77777777" w:rsidR="003741ED" w:rsidRPr="00EA1542" w:rsidRDefault="003741ED" w:rsidP="00A51AA8">
            <w:pPr>
              <w:pStyle w:val="TableText"/>
              <w:keepNext/>
            </w:pPr>
            <w:r w:rsidRPr="00EA1542">
              <w:t>Property value rise</w:t>
            </w:r>
          </w:p>
          <w:p w14:paraId="041E30F8" w14:textId="77777777" w:rsidR="003741ED" w:rsidRPr="00EA1542" w:rsidRDefault="003741ED" w:rsidP="00A51AA8">
            <w:pPr>
              <w:pStyle w:val="TableText"/>
              <w:keepNext/>
            </w:pPr>
            <w:r w:rsidRPr="00EA1542">
              <w:t>Leisure activities and non-use value</w:t>
            </w:r>
          </w:p>
        </w:tc>
      </w:tr>
      <w:tr w:rsidR="003741ED" w:rsidRPr="00EA1542" w14:paraId="041E30FE" w14:textId="77777777" w:rsidTr="0096789E">
        <w:trPr>
          <w:cantSplit/>
        </w:trPr>
        <w:tc>
          <w:tcPr>
            <w:tcW w:w="1134" w:type="dxa"/>
            <w:tcBorders>
              <w:top w:val="single" w:sz="4" w:space="0" w:color="A6A6A6" w:themeColor="background1" w:themeShade="A6"/>
            </w:tcBorders>
            <w:shd w:val="clear" w:color="auto" w:fill="auto"/>
          </w:tcPr>
          <w:p w14:paraId="041E30FA" w14:textId="77777777" w:rsidR="003741ED" w:rsidRPr="00EA1542" w:rsidRDefault="003741ED" w:rsidP="0096789E">
            <w:pPr>
              <w:pStyle w:val="TableText"/>
              <w:ind w:right="113"/>
            </w:pPr>
            <w:r w:rsidRPr="00EA1542">
              <w:t>Agricultural and industrial sectors</w:t>
            </w:r>
          </w:p>
        </w:tc>
        <w:tc>
          <w:tcPr>
            <w:tcW w:w="2410" w:type="dxa"/>
            <w:tcBorders>
              <w:top w:val="single" w:sz="4" w:space="0" w:color="A6A6A6" w:themeColor="background1" w:themeShade="A6"/>
            </w:tcBorders>
            <w:shd w:val="clear" w:color="auto" w:fill="auto"/>
          </w:tcPr>
          <w:p w14:paraId="041E30FB" w14:textId="77777777" w:rsidR="003741ED" w:rsidRPr="00EA1542" w:rsidRDefault="003741ED" w:rsidP="0096789E">
            <w:pPr>
              <w:pStyle w:val="TableText"/>
              <w:ind w:right="113"/>
            </w:pPr>
            <w:r w:rsidRPr="00EA1542">
              <w:t>Less expenditure on treatment of employees with diarrhoeal disease</w:t>
            </w:r>
          </w:p>
        </w:tc>
        <w:tc>
          <w:tcPr>
            <w:tcW w:w="2220" w:type="dxa"/>
            <w:tcBorders>
              <w:top w:val="single" w:sz="4" w:space="0" w:color="A6A6A6" w:themeColor="background1" w:themeShade="A6"/>
            </w:tcBorders>
            <w:shd w:val="clear" w:color="auto" w:fill="auto"/>
          </w:tcPr>
          <w:p w14:paraId="041E30FC" w14:textId="77777777" w:rsidR="003741ED" w:rsidRPr="00EA1542" w:rsidRDefault="003741ED" w:rsidP="0096789E">
            <w:pPr>
              <w:pStyle w:val="TableText"/>
              <w:ind w:right="113"/>
            </w:pPr>
            <w:r w:rsidRPr="00EA1542">
              <w:t>Less impact on productivity of ill-health of workers</w:t>
            </w:r>
          </w:p>
        </w:tc>
        <w:tc>
          <w:tcPr>
            <w:tcW w:w="2316" w:type="dxa"/>
            <w:tcBorders>
              <w:top w:val="single" w:sz="4" w:space="0" w:color="A6A6A6" w:themeColor="background1" w:themeShade="A6"/>
            </w:tcBorders>
            <w:shd w:val="clear" w:color="auto" w:fill="auto"/>
          </w:tcPr>
          <w:p w14:paraId="041E30FD" w14:textId="77777777" w:rsidR="003741ED" w:rsidRPr="00EA1542" w:rsidRDefault="003741ED" w:rsidP="0096789E">
            <w:pPr>
              <w:pStyle w:val="TableText"/>
            </w:pPr>
            <w:r w:rsidRPr="00EA1542">
              <w:t>Benefits to agriculture and industry of improved water supply, more efficient management of water resources – time saving or income generating technologies and land use changes</w:t>
            </w:r>
          </w:p>
        </w:tc>
      </w:tr>
    </w:tbl>
    <w:p w14:paraId="041E30FF" w14:textId="77777777" w:rsidR="003741ED" w:rsidRPr="00990575" w:rsidRDefault="003741ED" w:rsidP="0096789E"/>
    <w:p w14:paraId="041E3100" w14:textId="77777777" w:rsidR="003741ED" w:rsidRDefault="003741ED" w:rsidP="0096789E">
      <w:r>
        <w:t>Hutton and Haller (2004) summarised</w:t>
      </w:r>
      <w:r w:rsidRPr="00A05F16">
        <w:t xml:space="preserve"> </w:t>
      </w:r>
      <w:r>
        <w:t xml:space="preserve">for </w:t>
      </w:r>
      <w:r w:rsidRPr="00990575">
        <w:t>WHO</w:t>
      </w:r>
      <w:r>
        <w:t xml:space="preserve"> </w:t>
      </w:r>
      <w:r w:rsidRPr="00A05F16">
        <w:t xml:space="preserve">the benefits of </w:t>
      </w:r>
      <w:r>
        <w:t>potable</w:t>
      </w:r>
      <w:r w:rsidRPr="00A05F16">
        <w:t xml:space="preserve"> drinking-water supplies</w:t>
      </w:r>
      <w:r>
        <w:t>, see Table 1.4,</w:t>
      </w:r>
      <w:r w:rsidRPr="00A05F16">
        <w:t xml:space="preserve"> </w:t>
      </w:r>
      <w:r>
        <w:t xml:space="preserve">but noted that </w:t>
      </w:r>
      <w:r w:rsidRPr="00A05F16">
        <w:t>the intangible and unfor</w:t>
      </w:r>
      <w:r>
        <w:t>e</w:t>
      </w:r>
      <w:r w:rsidRPr="00A05F16">
        <w:t>seen benefits often outweigh the direct benefits of disease reduction.</w:t>
      </w:r>
    </w:p>
    <w:p w14:paraId="041E3101" w14:textId="77777777" w:rsidR="003741ED" w:rsidRPr="00A05F16" w:rsidRDefault="003741ED" w:rsidP="0096789E"/>
    <w:p w14:paraId="041E3102" w14:textId="77777777" w:rsidR="003741ED" w:rsidRPr="00A05F16" w:rsidRDefault="003741ED" w:rsidP="0096789E">
      <w:r w:rsidRPr="00A05F16">
        <w:t>In another N</w:t>
      </w:r>
      <w:r>
        <w:t xml:space="preserve">ew </w:t>
      </w:r>
      <w:r w:rsidRPr="00A05F16">
        <w:t>Z</w:t>
      </w:r>
      <w:r>
        <w:t>ealand</w:t>
      </w:r>
      <w:r w:rsidRPr="00A05F16">
        <w:t xml:space="preserve"> study the Wellington Regional Council </w:t>
      </w:r>
      <w:r>
        <w:t>has estimated the cost of water</w:t>
      </w:r>
      <w:r w:rsidRPr="00A05F16">
        <w:t>borne illness per affected household to be $5</w:t>
      </w:r>
      <w:r>
        <w:t>,</w:t>
      </w:r>
      <w:r w:rsidRPr="00A05F16">
        <w:t xml:space="preserve">000 (WRC 1998), based on a household size of </w:t>
      </w:r>
      <w:r>
        <w:t>three</w:t>
      </w:r>
      <w:r w:rsidRPr="00A05F16">
        <w:t xml:space="preserve"> persons, and period of illness of 2.5 weeks.</w:t>
      </w:r>
      <w:r>
        <w:t xml:space="preserve"> </w:t>
      </w:r>
      <w:r w:rsidRPr="00A05F16">
        <w:t>Using Hamilton as an example (160,000 people), the cost of illness of a cryptosporidiosis outbreak in drinking-water could be estimated at $109 million comprising $80 million in cost of illness affecting 30</w:t>
      </w:r>
      <w:r>
        <w:t> percent</w:t>
      </w:r>
      <w:r w:rsidRPr="00A05F16">
        <w:t xml:space="preserve"> of the city and $28.8</w:t>
      </w:r>
      <w:r>
        <w:t> </w:t>
      </w:r>
      <w:r w:rsidRPr="00A05F16">
        <w:t>million due to a 0.025</w:t>
      </w:r>
      <w:r>
        <w:t> percent</w:t>
      </w:r>
      <w:r w:rsidRPr="00A05F16">
        <w:t xml:space="preserve"> mortality rate amongst those infected (12 people).</w:t>
      </w:r>
      <w:r>
        <w:t xml:space="preserve"> </w:t>
      </w:r>
      <w:r w:rsidRPr="00A05F16">
        <w:t>Applying US figures, the cost of averting behaviour (hauling safe water, boiling water and/or purchasing bottled water) as a result of an outbreak of waterborne disease, again relating to Hamilton, is estimated at $14.8 to $46.8 million per month (Harrington</w:t>
      </w:r>
      <w:r w:rsidR="0090649D">
        <w:t xml:space="preserve"> et al</w:t>
      </w:r>
      <w:r w:rsidRPr="00A05F16">
        <w:t xml:space="preserve"> 1985</w:t>
      </w:r>
      <w:r>
        <w:t>)</w:t>
      </w:r>
      <w:r w:rsidRPr="00A05F16">
        <w:t xml:space="preserve"> who surveyed a community in Pennsylvania, USA which experienced a giardiasis outbreak in 1983).</w:t>
      </w:r>
      <w:r>
        <w:t xml:space="preserve"> </w:t>
      </w:r>
      <w:r w:rsidRPr="00A05F16">
        <w:t>Averting behaviour expenditures were estimate</w:t>
      </w:r>
      <w:r>
        <w:t>d for each household at US$153 to</w:t>
      </w:r>
      <w:r w:rsidRPr="00A05F16">
        <w:t xml:space="preserve"> $483 per month (converted to NZ$278 </w:t>
      </w:r>
      <w:r>
        <w:t>to</w:t>
      </w:r>
      <w:r w:rsidRPr="00A05F16">
        <w:t xml:space="preserve"> $878 at NZ$/US$0.55, for 53,300 households in Hamilton).</w:t>
      </w:r>
    </w:p>
    <w:p w14:paraId="041E3103" w14:textId="77777777" w:rsidR="003741ED" w:rsidRPr="00A05F16" w:rsidRDefault="003741ED" w:rsidP="0096789E"/>
    <w:p w14:paraId="041E3104" w14:textId="77777777" w:rsidR="003741ED" w:rsidRPr="00A05F16" w:rsidRDefault="003741ED" w:rsidP="00A51AA8">
      <w:pPr>
        <w:keepLines/>
      </w:pPr>
      <w:r w:rsidRPr="00A05F16">
        <w:t>A further saving arises because consumers do not need to install any supplementary treatment device such as point-of-use (POU) equipment in any New Zealand water supply that complies with the DWSNZ and has a good Grading.</w:t>
      </w:r>
      <w:r>
        <w:t xml:space="preserve"> </w:t>
      </w:r>
      <w:r w:rsidRPr="00A05F16">
        <w:t>Consumers that choose to install such equipment need to be careful that they do not introduce health concerns through improper use or maintenance, such as allowing bacteria to grow in the equipment that removes chlorine.</w:t>
      </w:r>
      <w:r>
        <w:t xml:space="preserve"> </w:t>
      </w:r>
      <w:r w:rsidRPr="00A05F16">
        <w:t>See Chapter 19: Small, Individual and Roof</w:t>
      </w:r>
      <w:r>
        <w:t xml:space="preserve"> Water Supplies, s</w:t>
      </w:r>
      <w:r w:rsidRPr="00A05F16">
        <w:t>ection 19.3.4 for further information.</w:t>
      </w:r>
    </w:p>
    <w:p w14:paraId="041E3105" w14:textId="77777777" w:rsidR="003741ED" w:rsidRDefault="003741ED" w:rsidP="0096789E"/>
    <w:p w14:paraId="041E3106" w14:textId="77777777" w:rsidR="003741ED" w:rsidRDefault="003741ED" w:rsidP="0096789E">
      <w:r w:rsidRPr="00A05F16">
        <w:t>Further savings arise because purchase of bottled water is unnecessary.</w:t>
      </w:r>
      <w:r>
        <w:t xml:space="preserve"> </w:t>
      </w:r>
      <w:r w:rsidRPr="00A05F16">
        <w:t xml:space="preserve">It should also be noted that New Zealanders spent $26,000,000 on bottled water in 2004, including coolers (G Hall, Corporate Water Brands, </w:t>
      </w:r>
      <w:r w:rsidRPr="00551D6C">
        <w:t>pers comm</w:t>
      </w:r>
      <w:r w:rsidRPr="00A05F16">
        <w:t>).</w:t>
      </w:r>
      <w:r>
        <w:t xml:space="preserve"> </w:t>
      </w:r>
      <w:r w:rsidRPr="00A05F16">
        <w:t>At least some of this can be taken as the cost of a lack of confidence in public water supplies.</w:t>
      </w:r>
      <w:r>
        <w:t xml:space="preserve"> </w:t>
      </w:r>
      <w:r>
        <w:rPr>
          <w:szCs w:val="22"/>
        </w:rPr>
        <w:t>Tap water quality in Tokyo is strictly regulated and advanced water treatment techniques such as ozonation have been widely introduced, with tap water quality attaining the highest level in the world. However, a 2013 consumer report indicated that only 49% of people in Tokyo drank tap water. Surveys have revealed a lack of knowledge about tap water regulation, with water suppliers needing to improve communication with citizens about safety and selection of tap water as drinking water.</w:t>
      </w:r>
    </w:p>
    <w:p w14:paraId="041E3107" w14:textId="77777777" w:rsidR="003741ED" w:rsidRDefault="003741ED" w:rsidP="0096789E"/>
    <w:p w14:paraId="041E3108" w14:textId="77777777" w:rsidR="003741ED" w:rsidRPr="00EA170A" w:rsidRDefault="003741ED" w:rsidP="0096789E">
      <w:r>
        <w:t xml:space="preserve">LECG (2010) concluded a net economic benefit to New Zealand of $134 million would be achieved by requiring large water suppliers to comply with both the bacteriological and protozoal determinands; a net economic benefit is also expected if medium supplies comply with both. </w:t>
      </w:r>
      <w:r w:rsidRPr="00EA170A">
        <w:t>The economic benefits to N</w:t>
      </w:r>
      <w:r>
        <w:t xml:space="preserve">ew </w:t>
      </w:r>
      <w:r w:rsidRPr="00EA170A">
        <w:t>Z</w:t>
      </w:r>
      <w:r>
        <w:t>ealand</w:t>
      </w:r>
      <w:r w:rsidRPr="00EA170A">
        <w:t xml:space="preserve"> for </w:t>
      </w:r>
      <w:r>
        <w:t>m</w:t>
      </w:r>
      <w:r w:rsidRPr="00EA170A">
        <w:t xml:space="preserve">inor, </w:t>
      </w:r>
      <w:r>
        <w:t>s</w:t>
      </w:r>
      <w:r w:rsidRPr="00EA170A">
        <w:t xml:space="preserve">mall and </w:t>
      </w:r>
      <w:r>
        <w:t>n</w:t>
      </w:r>
      <w:r w:rsidRPr="00EA170A">
        <w:t>eighbourhood supplies complying with both would need to be considered on a case by case basis.</w:t>
      </w:r>
      <w:r>
        <w:t xml:space="preserve"> </w:t>
      </w:r>
      <w:r w:rsidRPr="00EA170A">
        <w:t>The cost of compliance was estimated by CH2M Beca (2010).</w:t>
      </w:r>
    </w:p>
    <w:p w14:paraId="041E3109" w14:textId="77777777" w:rsidR="003741ED" w:rsidRDefault="003741ED" w:rsidP="0096789E"/>
    <w:p w14:paraId="041E310A" w14:textId="77777777" w:rsidR="003741ED" w:rsidRDefault="003741ED" w:rsidP="0096789E">
      <w:r>
        <w:t>Dupont and Jahan (2012)</w:t>
      </w:r>
      <w:r w:rsidRPr="00942BB3">
        <w:t xml:space="preserve"> examine</w:t>
      </w:r>
      <w:r>
        <w:t>d</w:t>
      </w:r>
      <w:r w:rsidRPr="00942BB3">
        <w:t xml:space="preserve"> factors that explain</w:t>
      </w:r>
      <w:r>
        <w:t>ed</w:t>
      </w:r>
      <w:r w:rsidRPr="00942BB3">
        <w:t xml:space="preserve"> consumer spending on tap water substitutes using information from a national survey undertaken with a representative set of Canadian respondents.</w:t>
      </w:r>
      <w:r>
        <w:t xml:space="preserve"> They</w:t>
      </w:r>
      <w:r w:rsidRPr="00942BB3">
        <w:t xml:space="preserve"> develop</w:t>
      </w:r>
      <w:r>
        <w:t>ed</w:t>
      </w:r>
      <w:r w:rsidRPr="00942BB3">
        <w:t xml:space="preserve"> a model to predict the percentage of households </w:t>
      </w:r>
      <w:r>
        <w:t>that undertoo</w:t>
      </w:r>
      <w:r w:rsidRPr="00942BB3">
        <w:t>k such spending for the purpose of reducing perceived health risks from tap water consumption.</w:t>
      </w:r>
      <w:r>
        <w:t xml:space="preserve"> </w:t>
      </w:r>
      <w:r w:rsidRPr="00942BB3">
        <w:t xml:space="preserve">Using results from the model </w:t>
      </w:r>
      <w:r>
        <w:t>they</w:t>
      </w:r>
      <w:r w:rsidRPr="00942BB3">
        <w:t xml:space="preserve"> estimate</w:t>
      </w:r>
      <w:r>
        <w:t>d</w:t>
      </w:r>
      <w:r w:rsidRPr="00942BB3">
        <w:t xml:space="preserve"> the magnitude of defensive expenditures to be over half a billion dollars (2010 US$) per year for Canada, as a whole.</w:t>
      </w:r>
      <w:r>
        <w:t xml:space="preserve"> </w:t>
      </w:r>
      <w:r w:rsidRPr="00942BB3">
        <w:t>This is equivalent to approximately $48 per household per year or about $19 per person per year.</w:t>
      </w:r>
      <w:r>
        <w:t xml:space="preserve"> </w:t>
      </w:r>
      <w:r w:rsidRPr="00942BB3">
        <w:t xml:space="preserve">Residents of Ontario, the province in which an </w:t>
      </w:r>
      <w:r w:rsidRPr="00942BB3">
        <w:rPr>
          <w:i/>
        </w:rPr>
        <w:t>Escherichia coli</w:t>
      </w:r>
      <w:r w:rsidRPr="00942BB3">
        <w:t xml:space="preserve"> i</w:t>
      </w:r>
      <w:r>
        <w:t>ncident took place in 2000, had</w:t>
      </w:r>
      <w:r w:rsidRPr="00942BB3">
        <w:t xml:space="preserve"> the highest willingness-to-pay of approximately $60 per household per year.</w:t>
      </w:r>
    </w:p>
    <w:p w14:paraId="041E310B" w14:textId="77777777" w:rsidR="003741ED" w:rsidRPr="00E66263" w:rsidRDefault="003741ED" w:rsidP="003741ED"/>
    <w:p w14:paraId="041E310C" w14:textId="77777777" w:rsidR="003741ED" w:rsidRDefault="003741ED" w:rsidP="00516A27">
      <w:pPr>
        <w:pStyle w:val="Heading4-nonumbering"/>
      </w:pPr>
      <w:r w:rsidRPr="00560F10">
        <w:t>Darfield</w:t>
      </w:r>
    </w:p>
    <w:p w14:paraId="041E310D" w14:textId="77777777" w:rsidR="003741ED" w:rsidRDefault="003741ED" w:rsidP="00E36D06">
      <w:r w:rsidRPr="00E66263">
        <w:t xml:space="preserve">The Canterbury town of Darfield (population 1790) experienced an outbreak of campylobacteriosis in August 2012 where it is estimated that 413 people became ill due to faulty chlorination of the water supply. </w:t>
      </w:r>
      <w:r w:rsidRPr="00E66263">
        <w:rPr>
          <w:rFonts w:cs="Garamond"/>
          <w:szCs w:val="22"/>
          <w:lang w:eastAsia="en-NZ"/>
        </w:rPr>
        <w:t>A sensitivity analysis based on the lowest and highest plausible estimates of campylobacteriosis cases identified ranges of total monetised costs of $308,592</w:t>
      </w:r>
      <w:r>
        <w:rPr>
          <w:rFonts w:cs="Garamond"/>
          <w:szCs w:val="22"/>
          <w:lang w:eastAsia="en-NZ"/>
        </w:rPr>
        <w:t>–</w:t>
      </w:r>
      <w:r w:rsidRPr="00E66263">
        <w:rPr>
          <w:rFonts w:cs="Garamond"/>
          <w:szCs w:val="22"/>
          <w:lang w:eastAsia="en-NZ"/>
        </w:rPr>
        <w:t>$536,401, 871 days off school and 0.93</w:t>
      </w:r>
      <w:r>
        <w:rPr>
          <w:rFonts w:cs="Garamond"/>
          <w:szCs w:val="22"/>
          <w:lang w:eastAsia="en-NZ"/>
        </w:rPr>
        <w:t>–</w:t>
      </w:r>
      <w:r w:rsidRPr="00E66263">
        <w:rPr>
          <w:rFonts w:cs="Garamond"/>
          <w:szCs w:val="22"/>
          <w:lang w:eastAsia="en-NZ"/>
        </w:rPr>
        <w:t>1.31 DALYs.</w:t>
      </w:r>
      <w:r w:rsidRPr="00E66263">
        <w:t xml:space="preserve"> From: Sapere Research (2013).</w:t>
      </w:r>
    </w:p>
    <w:p w14:paraId="041E310E" w14:textId="77777777" w:rsidR="003741ED" w:rsidRDefault="003741ED" w:rsidP="00E36D06"/>
    <w:p w14:paraId="041E310F" w14:textId="77777777" w:rsidR="003741ED" w:rsidRPr="00560F10" w:rsidRDefault="003741ED" w:rsidP="00516A27">
      <w:pPr>
        <w:pStyle w:val="Heading4-nonumbering"/>
      </w:pPr>
      <w:r w:rsidRPr="00560F10">
        <w:t>Havelock North</w:t>
      </w:r>
    </w:p>
    <w:p w14:paraId="041E3110" w14:textId="77777777" w:rsidR="003741ED" w:rsidRDefault="003741ED" w:rsidP="00E36D06">
      <w:r>
        <w:t>A campylobacter outbreak occurred in Havelock North in 2016 (see Table 1.3). The MoH commissioned a report to determine the costs of outbreak (Sapere 2017).</w:t>
      </w:r>
    </w:p>
    <w:p w14:paraId="041E3111" w14:textId="77777777" w:rsidR="003741ED" w:rsidRDefault="003741ED" w:rsidP="00E36D06"/>
    <w:p w14:paraId="041E3112" w14:textId="77777777" w:rsidR="003741ED" w:rsidRPr="00DB2494" w:rsidRDefault="003741ED" w:rsidP="00E36D06">
      <w:r w:rsidRPr="00256297">
        <w:t xml:space="preserve">Costs were separated into six broad groupings: local government, the business sector, central government, non-governmental organisations (NGOs), health/illness-related costs, and households. In addition, costs </w:t>
      </w:r>
      <w:r w:rsidRPr="00CA10C3">
        <w:t>we</w:t>
      </w:r>
      <w:r>
        <w:t>re</w:t>
      </w:r>
      <w:r w:rsidRPr="00CA10C3">
        <w:t xml:space="preserve"> </w:t>
      </w:r>
      <w:r w:rsidRPr="00031236">
        <w:t xml:space="preserve">distinguished </w:t>
      </w:r>
      <w:r w:rsidRPr="00256297">
        <w:t>by the following stages:</w:t>
      </w:r>
    </w:p>
    <w:p w14:paraId="041E3113" w14:textId="77777777" w:rsidR="003741ED" w:rsidRDefault="003741ED" w:rsidP="00E36D06">
      <w:pPr>
        <w:pStyle w:val="Bullet"/>
      </w:pPr>
      <w:r w:rsidRPr="00DB2494">
        <w:t>investigation/diagnosis refers to the sourcing and confirmation of the outbreak (eg</w:t>
      </w:r>
      <w:r w:rsidR="00E36D06">
        <w:t>,</w:t>
      </w:r>
      <w:r w:rsidRPr="00DB2494">
        <w:t xml:space="preserve"> expert reports, testing, planning a</w:t>
      </w:r>
      <w:r w:rsidRPr="00454463">
        <w:t>nd setting up response teams)</w:t>
      </w:r>
    </w:p>
    <w:p w14:paraId="041E3114" w14:textId="77777777" w:rsidR="003741ED" w:rsidRPr="00454463" w:rsidRDefault="003741ED" w:rsidP="00E36D06">
      <w:pPr>
        <w:pStyle w:val="Bullet"/>
      </w:pPr>
      <w:r w:rsidRPr="00256297">
        <w:t>reaction relates to costs that arose once the contamination was confirmed (eg</w:t>
      </w:r>
      <w:r w:rsidR="00E36D06">
        <w:t>,</w:t>
      </w:r>
      <w:r w:rsidRPr="00256297">
        <w:t xml:space="preserve"> provision of bottled water, communications and information provision and co-or</w:t>
      </w:r>
      <w:r w:rsidR="00E36D06">
        <w:t>dination costs, welfare teams)</w:t>
      </w:r>
    </w:p>
    <w:p w14:paraId="041E3115" w14:textId="77777777" w:rsidR="003741ED" w:rsidRPr="00591EF4" w:rsidRDefault="003741ED" w:rsidP="00E36D06">
      <w:pPr>
        <w:pStyle w:val="Bullet"/>
      </w:pPr>
      <w:r w:rsidRPr="00454463">
        <w:t xml:space="preserve">remedial covers costs related to actions to </w:t>
      </w:r>
      <w:r>
        <w:t>‘</w:t>
      </w:r>
      <w:r w:rsidRPr="00454463">
        <w:t>make right</w:t>
      </w:r>
      <w:r>
        <w:t>’</w:t>
      </w:r>
      <w:r w:rsidRPr="00454463">
        <w:t xml:space="preserve"> the water supply (treatment, engineering</w:t>
      </w:r>
      <w:r w:rsidRPr="00591EF4">
        <w:t xml:space="preserve"> costs, further testing, etc)</w:t>
      </w:r>
    </w:p>
    <w:p w14:paraId="041E3116" w14:textId="77777777" w:rsidR="003741ED" w:rsidRPr="00560F10" w:rsidRDefault="003741ED" w:rsidP="00E36D06">
      <w:pPr>
        <w:pStyle w:val="Bullet"/>
      </w:pPr>
      <w:r w:rsidRPr="00591EF4">
        <w:t>consequential describes costs that arise because of the outbreak (eg</w:t>
      </w:r>
      <w:r w:rsidR="00E36D06">
        <w:t>,</w:t>
      </w:r>
      <w:r w:rsidRPr="00591EF4">
        <w:t xml:space="preserve"> filtered water stations, safeguar</w:t>
      </w:r>
      <w:r w:rsidR="00E36D06">
        <w:t>ds, and inquiry related costs)</w:t>
      </w:r>
    </w:p>
    <w:p w14:paraId="041E3117" w14:textId="77777777" w:rsidR="003741ED" w:rsidRPr="00A33CDF" w:rsidRDefault="003741ED" w:rsidP="00E36D06">
      <w:pPr>
        <w:pStyle w:val="Bullet"/>
      </w:pPr>
      <w:r w:rsidRPr="00560F10">
        <w:t>residual are costs that are ongoing such as monit</w:t>
      </w:r>
      <w:r w:rsidRPr="00A33CDF">
        <w:t>oring, testing, rates rebates, information campaigns, and costs to respond to ongoing inquiries as to the safety of the water.</w:t>
      </w:r>
    </w:p>
    <w:p w14:paraId="041E3118" w14:textId="77777777" w:rsidR="003741ED" w:rsidRPr="00A33CDF" w:rsidRDefault="003741ED" w:rsidP="00E36D06"/>
    <w:p w14:paraId="041E3119" w14:textId="77777777" w:rsidR="003741ED" w:rsidRDefault="003741ED" w:rsidP="00E36D06">
      <w:r w:rsidRPr="00A33CDF">
        <w:t xml:space="preserve">Total economic costs associated with the outbreak were estimated to be $21,029,288. The vast majority of costs relate to household inconvenience due to having to boil water, buy bottled water, and taking time off from normal activities during </w:t>
      </w:r>
      <w:r>
        <w:t>the outbreak</w:t>
      </w:r>
      <w:r w:rsidRPr="00256297">
        <w:t>. This is a function of the large number of households affected (5,088) and the relatively high costs per household of around $2,440.</w:t>
      </w:r>
    </w:p>
    <w:p w14:paraId="041E311A" w14:textId="77777777" w:rsidR="003741ED" w:rsidRDefault="003741ED" w:rsidP="00E36D06"/>
    <w:p w14:paraId="041E311B" w14:textId="77777777" w:rsidR="003741ED" w:rsidRDefault="003741ED" w:rsidP="00E36D06">
      <w:r>
        <w:t>An ESR presentation in 2019 stated that:</w:t>
      </w:r>
    </w:p>
    <w:p w14:paraId="041E311C" w14:textId="77777777" w:rsidR="003741ED" w:rsidRPr="004D13E8" w:rsidRDefault="003741ED" w:rsidP="00E36D06">
      <w:pPr>
        <w:pStyle w:val="Bullet"/>
      </w:pPr>
      <w:r w:rsidRPr="003741ED">
        <w:t xml:space="preserve">scientists believe that the </w:t>
      </w:r>
      <w:r w:rsidRPr="003741ED">
        <w:rPr>
          <w:i/>
          <w:iCs/>
        </w:rPr>
        <w:t>Campylobacter</w:t>
      </w:r>
      <w:r w:rsidRPr="003741ED">
        <w:t xml:space="preserve"> strains that caused the Havelock North outbreak were extremely virulent</w:t>
      </w:r>
    </w:p>
    <w:p w14:paraId="041E311D" w14:textId="77777777" w:rsidR="003741ED" w:rsidRPr="004D13E8" w:rsidRDefault="003741ED" w:rsidP="00E36D06">
      <w:pPr>
        <w:pStyle w:val="Bullet"/>
      </w:pPr>
      <w:r w:rsidRPr="003741ED">
        <w:t xml:space="preserve">it is possible that people only needed to ingest 10 </w:t>
      </w:r>
      <w:r w:rsidRPr="004D13E8">
        <w:rPr>
          <w:i/>
          <w:iCs/>
        </w:rPr>
        <w:t>Campylobacter</w:t>
      </w:r>
      <w:r>
        <w:t xml:space="preserve"> cells to become infected</w:t>
      </w:r>
    </w:p>
    <w:p w14:paraId="041E311E" w14:textId="77777777" w:rsidR="003741ED" w:rsidRPr="004D13E8" w:rsidRDefault="003741ED" w:rsidP="00E36D06">
      <w:pPr>
        <w:pStyle w:val="Bullet"/>
      </w:pPr>
      <w:r>
        <w:t>s</w:t>
      </w:r>
      <w:r w:rsidRPr="004D13E8">
        <w:t xml:space="preserve">heep </w:t>
      </w:r>
      <w:r>
        <w:t>defecate 865</w:t>
      </w:r>
      <w:r w:rsidR="00E36D06">
        <w:t> </w:t>
      </w:r>
      <w:r>
        <w:t>g of faeces per day</w:t>
      </w:r>
    </w:p>
    <w:p w14:paraId="041E311F" w14:textId="77777777" w:rsidR="003741ED" w:rsidRPr="004D13E8" w:rsidRDefault="003741ED" w:rsidP="00E36D06">
      <w:pPr>
        <w:pStyle w:val="Bullet"/>
      </w:pPr>
      <w:r>
        <w:t>t</w:t>
      </w:r>
      <w:r w:rsidRPr="004D13E8">
        <w:t>here are 3.3</w:t>
      </w:r>
      <w:r w:rsidR="00E36D06">
        <w:t> </w:t>
      </w:r>
      <w:r w:rsidRPr="004D13E8">
        <w:t xml:space="preserve">million </w:t>
      </w:r>
      <w:r w:rsidRPr="004D13E8">
        <w:rPr>
          <w:i/>
          <w:iCs/>
        </w:rPr>
        <w:t>Campylobacter</w:t>
      </w:r>
      <w:r w:rsidRPr="004D13E8">
        <w:t xml:space="preserve"> per g</w:t>
      </w:r>
      <w:r w:rsidR="00E36D06">
        <w:t>ram</w:t>
      </w:r>
      <w:r w:rsidRPr="004D13E8">
        <w:t xml:space="preserve"> of </w:t>
      </w:r>
      <w:r>
        <w:t>s</w:t>
      </w:r>
      <w:r w:rsidRPr="004D13E8">
        <w:t>heep faeces</w:t>
      </w:r>
    </w:p>
    <w:p w14:paraId="041E3120" w14:textId="77777777" w:rsidR="003741ED" w:rsidRPr="004D13E8" w:rsidRDefault="003741ED" w:rsidP="00E36D06">
      <w:pPr>
        <w:pStyle w:val="Bullet"/>
      </w:pPr>
      <w:r>
        <w:t>t</w:t>
      </w:r>
      <w:r w:rsidRPr="004D13E8">
        <w:t>o contaminate Havelock North</w:t>
      </w:r>
      <w:r>
        <w:t>’</w:t>
      </w:r>
      <w:r w:rsidRPr="004D13E8">
        <w:t xml:space="preserve">s water supply for </w:t>
      </w:r>
      <w:r w:rsidR="00E36D06">
        <w:t>one</w:t>
      </w:r>
      <w:r w:rsidRPr="004D13E8">
        <w:t xml:space="preserve"> day only 70</w:t>
      </w:r>
      <w:r w:rsidR="00E36D06">
        <w:t> </w:t>
      </w:r>
      <w:r w:rsidRPr="004D13E8">
        <w:t>g of faeces would need to have entered the drinking water reticulation system</w:t>
      </w:r>
    </w:p>
    <w:p w14:paraId="041E3121" w14:textId="77777777" w:rsidR="003741ED" w:rsidRPr="004D13E8" w:rsidRDefault="003741ED" w:rsidP="00E36D06">
      <w:pPr>
        <w:pStyle w:val="Bullet"/>
      </w:pPr>
      <w:r w:rsidRPr="004D13E8">
        <w:t>Havelock North residents would only have needed to drink 300</w:t>
      </w:r>
      <w:r w:rsidR="00E36D06">
        <w:t> </w:t>
      </w:r>
      <w:r>
        <w:t>mL</w:t>
      </w:r>
      <w:r w:rsidRPr="004D13E8">
        <w:t xml:space="preserve"> </w:t>
      </w:r>
      <w:r>
        <w:t>of water per day to become ill.</w:t>
      </w:r>
    </w:p>
    <w:p w14:paraId="041E3122" w14:textId="77777777" w:rsidR="003741ED" w:rsidRDefault="003741ED" w:rsidP="00E36D06"/>
    <w:p w14:paraId="041E3123" w14:textId="77777777" w:rsidR="003741ED" w:rsidRPr="00320B23" w:rsidRDefault="003741ED" w:rsidP="00E36D06">
      <w:pPr>
        <w:pStyle w:val="Heading2"/>
      </w:pPr>
      <w:bookmarkStart w:id="39" w:name="_Toc362013176"/>
      <w:bookmarkStart w:id="40" w:name="_Toc364704282"/>
      <w:bookmarkStart w:id="41" w:name="_Toc485635038"/>
      <w:bookmarkStart w:id="42" w:name="_Toc2333420"/>
      <w:bookmarkStart w:id="43" w:name="_Toc8979305"/>
      <w:r>
        <w:t>M</w:t>
      </w:r>
      <w:r w:rsidRPr="00320B23">
        <w:t xml:space="preserve">inistry of </w:t>
      </w:r>
      <w:r>
        <w:t>H</w:t>
      </w:r>
      <w:r w:rsidRPr="00320B23">
        <w:t>ealth public health protection strategy for drinking-water 1993</w:t>
      </w:r>
      <w:r>
        <w:t>–</w:t>
      </w:r>
      <w:r w:rsidRPr="00320B23">
        <w:t>1995</w:t>
      </w:r>
      <w:bookmarkEnd w:id="39"/>
      <w:bookmarkEnd w:id="40"/>
      <w:bookmarkEnd w:id="41"/>
      <w:bookmarkEnd w:id="42"/>
      <w:bookmarkEnd w:id="43"/>
    </w:p>
    <w:p w14:paraId="041E3124" w14:textId="77777777" w:rsidR="003741ED" w:rsidRPr="00320B23" w:rsidRDefault="003741ED" w:rsidP="00E36D06">
      <w:pPr>
        <w:pStyle w:val="Heading3"/>
      </w:pPr>
      <w:bookmarkStart w:id="44" w:name="_Toc362013177"/>
      <w:bookmarkStart w:id="45" w:name="_Toc364704283"/>
      <w:bookmarkStart w:id="46" w:name="_Toc2333421"/>
      <w:bookmarkStart w:id="47" w:name="_Toc8979306"/>
      <w:r>
        <w:t>S</w:t>
      </w:r>
      <w:r w:rsidRPr="00320B23">
        <w:t>trategy development</w:t>
      </w:r>
      <w:bookmarkEnd w:id="44"/>
      <w:bookmarkEnd w:id="45"/>
      <w:bookmarkEnd w:id="46"/>
      <w:bookmarkEnd w:id="47"/>
    </w:p>
    <w:p w14:paraId="041E3125" w14:textId="77777777" w:rsidR="003741ED" w:rsidRPr="00307F60" w:rsidRDefault="003741ED" w:rsidP="00E36D06">
      <w:r>
        <w:t xml:space="preserve">The purpose of the </w:t>
      </w:r>
      <w:r w:rsidRPr="00307F60">
        <w:t xml:space="preserve">Ministry of Health </w:t>
      </w:r>
      <w:r>
        <w:t xml:space="preserve">(MoH) </w:t>
      </w:r>
      <w:r w:rsidRPr="00307F60">
        <w:t>strategy for drinking-water</w:t>
      </w:r>
      <w:r>
        <w:t>,</w:t>
      </w:r>
      <w:r w:rsidRPr="00307F60">
        <w:t xml:space="preserve"> formally adopted by the Director</w:t>
      </w:r>
      <w:r>
        <w:t>-</w:t>
      </w:r>
      <w:r w:rsidRPr="00307F60">
        <w:t>General of Health in 1995</w:t>
      </w:r>
      <w:r>
        <w:t>,</w:t>
      </w:r>
      <w:r w:rsidRPr="00307F60">
        <w:t xml:space="preserve"> was to develop and apply the necessary tools for the implementation of the policy for drinking-water management</w:t>
      </w:r>
      <w:r>
        <w:t>.</w:t>
      </w:r>
    </w:p>
    <w:p w14:paraId="041E3126" w14:textId="77777777" w:rsidR="003741ED" w:rsidRDefault="003741ED" w:rsidP="00E36D06"/>
    <w:p w14:paraId="041E3127" w14:textId="77777777" w:rsidR="003741ED" w:rsidRPr="00307F60" w:rsidRDefault="003741ED" w:rsidP="00E36D06">
      <w:r>
        <w:t xml:space="preserve">From 1993 to </w:t>
      </w:r>
      <w:r w:rsidRPr="00307F60">
        <w:t xml:space="preserve">1995 the </w:t>
      </w:r>
      <w:r>
        <w:t>Mo</w:t>
      </w:r>
      <w:r w:rsidRPr="00307F60">
        <w:t>H developed an initial strategy to protect the public health safety of drinking-water.</w:t>
      </w:r>
      <w:r>
        <w:t xml:space="preserve"> </w:t>
      </w:r>
      <w:r w:rsidRPr="00307F60">
        <w:t>The goal of the MoH drinking-water policy was to achieve a high standard of drinking-water quality and management in New Zealand by promoting the understanding and application of the principles of public health safety by drinking-water suppliers and the general public</w:t>
      </w:r>
      <w:r>
        <w:t xml:space="preserve">. </w:t>
      </w:r>
      <w:r w:rsidRPr="00307F60">
        <w:t>The development and implementation of this strategy are outlined below.</w:t>
      </w:r>
    </w:p>
    <w:p w14:paraId="041E3128" w14:textId="77777777" w:rsidR="003741ED" w:rsidRPr="00307F60" w:rsidRDefault="003741ED" w:rsidP="00E36D06"/>
    <w:p w14:paraId="041E3129" w14:textId="77777777" w:rsidR="003741ED" w:rsidRPr="00A51AA8" w:rsidRDefault="003741ED" w:rsidP="00E36D06">
      <w:pPr>
        <w:rPr>
          <w:spacing w:val="-2"/>
        </w:rPr>
      </w:pPr>
      <w:r w:rsidRPr="00A51AA8">
        <w:rPr>
          <w:spacing w:val="-2"/>
        </w:rPr>
        <w:t>To develop its public health protection strategy for drinking-water, the MoH developed:</w:t>
      </w:r>
    </w:p>
    <w:p w14:paraId="041E312A" w14:textId="77777777" w:rsidR="003741ED" w:rsidRDefault="003741ED" w:rsidP="00E36D06">
      <w:pPr>
        <w:pStyle w:val="Bullet"/>
      </w:pPr>
      <w:r w:rsidRPr="00307F60">
        <w:t>goals and objectives for public health protection of drinking-water</w:t>
      </w:r>
    </w:p>
    <w:p w14:paraId="041E312B" w14:textId="77777777" w:rsidR="003741ED" w:rsidRDefault="003741ED" w:rsidP="00E36D06">
      <w:pPr>
        <w:pStyle w:val="Bullet"/>
      </w:pPr>
      <w:r w:rsidRPr="00307F60">
        <w:t>assessed whether the desired goals and objectives were realistic and achievable</w:t>
      </w:r>
    </w:p>
    <w:p w14:paraId="041E312C" w14:textId="77777777" w:rsidR="003741ED" w:rsidRPr="00307F60" w:rsidRDefault="003741ED" w:rsidP="00E36D06">
      <w:pPr>
        <w:pStyle w:val="Bullet"/>
      </w:pPr>
      <w:r w:rsidRPr="00307F60">
        <w:t>assessed the tools available for implementing the strategy:</w:t>
      </w:r>
    </w:p>
    <w:p w14:paraId="041E312D" w14:textId="77777777" w:rsidR="003741ED" w:rsidRPr="00307F60" w:rsidRDefault="003741ED" w:rsidP="00E36D06">
      <w:pPr>
        <w:pStyle w:val="Dash"/>
      </w:pPr>
      <w:r w:rsidRPr="00307F60">
        <w:t>which tools are currently in use?</w:t>
      </w:r>
    </w:p>
    <w:p w14:paraId="041E312E" w14:textId="77777777" w:rsidR="003741ED" w:rsidRPr="00307F60" w:rsidRDefault="003741ED" w:rsidP="00E36D06">
      <w:pPr>
        <w:pStyle w:val="Dash"/>
      </w:pPr>
      <w:r w:rsidRPr="00307F60">
        <w:t>what new tools are required?</w:t>
      </w:r>
    </w:p>
    <w:p w14:paraId="041E312F" w14:textId="77777777" w:rsidR="003741ED" w:rsidRPr="00307F60" w:rsidRDefault="003741ED" w:rsidP="00E36D06">
      <w:pPr>
        <w:pStyle w:val="Dash"/>
      </w:pPr>
      <w:r w:rsidRPr="00307F60">
        <w:t>would they work?</w:t>
      </w:r>
    </w:p>
    <w:p w14:paraId="041E3130" w14:textId="77777777" w:rsidR="003741ED" w:rsidRPr="00307F60" w:rsidRDefault="003741ED" w:rsidP="00E36D06">
      <w:pPr>
        <w:pStyle w:val="Dash"/>
      </w:pPr>
      <w:r w:rsidRPr="00307F60">
        <w:t>what were their strengths and weaknesses?</w:t>
      </w:r>
    </w:p>
    <w:p w14:paraId="041E3131" w14:textId="77777777" w:rsidR="003741ED" w:rsidRPr="00307F60" w:rsidRDefault="003741ED" w:rsidP="00E36D06">
      <w:pPr>
        <w:pStyle w:val="Dash"/>
      </w:pPr>
      <w:r w:rsidRPr="00307F60">
        <w:t>whether their performance could be enhanced by designing them to work synergistically</w:t>
      </w:r>
    </w:p>
    <w:p w14:paraId="041E3132" w14:textId="77777777" w:rsidR="003741ED" w:rsidRPr="00307F60" w:rsidRDefault="003741ED" w:rsidP="00E36D06">
      <w:pPr>
        <w:pStyle w:val="Dash"/>
      </w:pPr>
      <w:r w:rsidRPr="00307F60">
        <w:t>whether there was statutory authorisation for their use</w:t>
      </w:r>
    </w:p>
    <w:p w14:paraId="041E3133" w14:textId="77777777" w:rsidR="003741ED" w:rsidRPr="00307F60" w:rsidRDefault="003741ED" w:rsidP="00E36D06">
      <w:pPr>
        <w:pStyle w:val="Bullet"/>
      </w:pPr>
      <w:r w:rsidRPr="00307F60">
        <w:t>planned an integrated strategy by:</w:t>
      </w:r>
    </w:p>
    <w:p w14:paraId="041E3134" w14:textId="77777777" w:rsidR="003741ED" w:rsidRPr="00307F60" w:rsidRDefault="003741ED" w:rsidP="00E36D06">
      <w:pPr>
        <w:pStyle w:val="Dash"/>
      </w:pPr>
      <w:r w:rsidRPr="00307F60">
        <w:t>deciding which tools were needed to provide adequate protection for drinking-water quality</w:t>
      </w:r>
    </w:p>
    <w:p w14:paraId="041E3135" w14:textId="77777777" w:rsidR="003741ED" w:rsidRPr="00307F60" w:rsidRDefault="003741ED" w:rsidP="00E36D06">
      <w:pPr>
        <w:pStyle w:val="Dash"/>
      </w:pPr>
      <w:r w:rsidRPr="00307F60">
        <w:t>ascertaining how to design the tools to ensure that they reinforced one another in use</w:t>
      </w:r>
    </w:p>
    <w:p w14:paraId="041E3136" w14:textId="77777777" w:rsidR="003741ED" w:rsidRPr="00307F60" w:rsidRDefault="003741ED" w:rsidP="00E36D06">
      <w:pPr>
        <w:pStyle w:val="Dash"/>
      </w:pPr>
      <w:r w:rsidRPr="00307F60">
        <w:t>preparing a schedule of objectives for developing and implementing the tools.</w:t>
      </w:r>
    </w:p>
    <w:p w14:paraId="041E3137" w14:textId="77777777" w:rsidR="003741ED" w:rsidRPr="00307F60" w:rsidRDefault="003741ED" w:rsidP="00E36D06"/>
    <w:p w14:paraId="041E3138" w14:textId="77777777" w:rsidR="003741ED" w:rsidRPr="00307F60" w:rsidRDefault="003741ED" w:rsidP="00E36D06">
      <w:r w:rsidRPr="00307F60">
        <w:t>The programme was designed to get the already-existing tools into operation as soon as possible and concurrently to:</w:t>
      </w:r>
    </w:p>
    <w:p w14:paraId="041E3139" w14:textId="77777777" w:rsidR="003741ED" w:rsidRPr="00307F60" w:rsidRDefault="003741ED" w:rsidP="00E36D06">
      <w:pPr>
        <w:pStyle w:val="Bullet"/>
      </w:pPr>
      <w:r w:rsidRPr="00307F60">
        <w:t>develop an overall strategy and a notional timetable for implementation</w:t>
      </w:r>
    </w:p>
    <w:p w14:paraId="041E313A" w14:textId="77777777" w:rsidR="003741ED" w:rsidRPr="00A51AA8" w:rsidRDefault="003741ED" w:rsidP="00A51AA8">
      <w:pPr>
        <w:pStyle w:val="Bullet"/>
        <w:ind w:right="-142"/>
        <w:rPr>
          <w:spacing w:val="-2"/>
        </w:rPr>
      </w:pPr>
      <w:r w:rsidRPr="00A51AA8">
        <w:rPr>
          <w:spacing w:val="-2"/>
        </w:rPr>
        <w:t>redesign the already-existing tools to work better together to achieve the desired goals</w:t>
      </w:r>
    </w:p>
    <w:p w14:paraId="041E313B" w14:textId="77777777" w:rsidR="003741ED" w:rsidRDefault="003741ED" w:rsidP="00E36D06">
      <w:pPr>
        <w:pStyle w:val="Bullet"/>
      </w:pPr>
      <w:r w:rsidRPr="00307F60">
        <w:t>develop new tools as required.</w:t>
      </w:r>
    </w:p>
    <w:p w14:paraId="041E313C" w14:textId="77777777" w:rsidR="003741ED" w:rsidRDefault="003741ED" w:rsidP="00E36D06"/>
    <w:p w14:paraId="041E313D" w14:textId="77777777" w:rsidR="003741ED" w:rsidRPr="00320B23" w:rsidRDefault="003741ED" w:rsidP="00E36D06">
      <w:pPr>
        <w:pStyle w:val="Heading3"/>
      </w:pPr>
      <w:bookmarkStart w:id="48" w:name="_Toc362013178"/>
      <w:bookmarkStart w:id="49" w:name="_Toc364704284"/>
      <w:bookmarkStart w:id="50" w:name="_Toc2333422"/>
      <w:bookmarkStart w:id="51" w:name="_Toc8979307"/>
      <w:r>
        <w:t>Outline of the strategy</w:t>
      </w:r>
      <w:bookmarkEnd w:id="48"/>
      <w:bookmarkEnd w:id="49"/>
      <w:bookmarkEnd w:id="50"/>
      <w:bookmarkEnd w:id="51"/>
    </w:p>
    <w:p w14:paraId="041E313E" w14:textId="77777777" w:rsidR="003741ED" w:rsidRPr="00307F60" w:rsidRDefault="003741ED" w:rsidP="00E36D06">
      <w:r w:rsidRPr="00307F60">
        <w:t>The Ministry of Health</w:t>
      </w:r>
      <w:r>
        <w:t>’s</w:t>
      </w:r>
      <w:r w:rsidRPr="00307F60">
        <w:t xml:space="preserve"> drinking-water strategy </w:t>
      </w:r>
      <w:r>
        <w:t xml:space="preserve">from </w:t>
      </w:r>
      <w:r w:rsidRPr="00307F60">
        <w:t>1993</w:t>
      </w:r>
      <w:r>
        <w:t xml:space="preserve"> to </w:t>
      </w:r>
      <w:r w:rsidRPr="00307F60">
        <w:t>1995 involved:</w:t>
      </w:r>
    </w:p>
    <w:p w14:paraId="041E313F" w14:textId="77777777" w:rsidR="003741ED" w:rsidRPr="00307F60" w:rsidRDefault="003741ED" w:rsidP="00E36D06">
      <w:pPr>
        <w:spacing w:before="90"/>
        <w:ind w:left="567" w:hanging="567"/>
      </w:pPr>
      <w:r>
        <w:t>1</w:t>
      </w:r>
      <w:r>
        <w:tab/>
      </w:r>
      <w:r w:rsidRPr="00307F60">
        <w:t xml:space="preserve">development of performance standards </w:t>
      </w:r>
      <w:r>
        <w:t>on all</w:t>
      </w:r>
      <w:r w:rsidRPr="00307F60">
        <w:t xml:space="preserve"> aspects of management of drinking-water quality</w:t>
      </w:r>
    </w:p>
    <w:p w14:paraId="041E3140" w14:textId="77777777" w:rsidR="003741ED" w:rsidRPr="00307F60" w:rsidRDefault="003741ED" w:rsidP="00E36D06">
      <w:pPr>
        <w:spacing w:before="90"/>
        <w:ind w:left="567" w:hanging="567"/>
      </w:pPr>
      <w:r>
        <w:t>2</w:t>
      </w:r>
      <w:r>
        <w:tab/>
      </w:r>
      <w:r w:rsidRPr="00307F60">
        <w:t>development of standards of competence for health officers and Medical Officers of Health working with drinking-water in order to achiev</w:t>
      </w:r>
      <w:r>
        <w:t>e consistent national standards</w:t>
      </w:r>
    </w:p>
    <w:p w14:paraId="041E3141" w14:textId="77777777" w:rsidR="003741ED" w:rsidRPr="00307F60" w:rsidRDefault="003741ED" w:rsidP="00E36D06">
      <w:pPr>
        <w:spacing w:before="90"/>
        <w:ind w:left="567" w:hanging="567"/>
      </w:pPr>
      <w:r>
        <w:t>3</w:t>
      </w:r>
      <w:r>
        <w:tab/>
      </w:r>
      <w:r w:rsidRPr="00307F60">
        <w:t xml:space="preserve">development and application of an integrated set of tools for promoting the provision of </w:t>
      </w:r>
      <w:r>
        <w:t>potable</w:t>
      </w:r>
      <w:r w:rsidRPr="00307F60">
        <w:t>, wholesome drinking-water supplies</w:t>
      </w:r>
    </w:p>
    <w:p w14:paraId="041E3142" w14:textId="77777777" w:rsidR="003741ED" w:rsidRPr="00307F60" w:rsidRDefault="003741ED" w:rsidP="00E36D06">
      <w:pPr>
        <w:spacing w:before="90"/>
        <w:ind w:left="567" w:hanging="567"/>
      </w:pPr>
      <w:r>
        <w:t>4</w:t>
      </w:r>
      <w:r>
        <w:tab/>
      </w:r>
      <w:r w:rsidRPr="00307F60">
        <w:t>provision of information to the public on public health issues concerning drinking-water and the quality of community drinking-water supplies</w:t>
      </w:r>
    </w:p>
    <w:p w14:paraId="041E3143" w14:textId="77777777" w:rsidR="003741ED" w:rsidRPr="00307F60" w:rsidRDefault="003741ED" w:rsidP="00E36D06">
      <w:pPr>
        <w:spacing w:before="90"/>
        <w:ind w:left="567" w:hanging="567"/>
      </w:pPr>
      <w:r>
        <w:t>5</w:t>
      </w:r>
      <w:r>
        <w:tab/>
      </w:r>
      <w:r w:rsidRPr="00307F60">
        <w:t>promotion of public health issues concerning drinking-water to the public</w:t>
      </w:r>
    </w:p>
    <w:p w14:paraId="041E3144" w14:textId="77777777" w:rsidR="003741ED" w:rsidRPr="00307F60" w:rsidRDefault="003741ED" w:rsidP="00E36D06">
      <w:pPr>
        <w:spacing w:before="90"/>
        <w:ind w:left="567" w:hanging="567"/>
      </w:pPr>
      <w:r>
        <w:t>6</w:t>
      </w:r>
      <w:r>
        <w:tab/>
      </w:r>
      <w:r w:rsidRPr="00307F60">
        <w:t>promotion of self-management by the water supply industry</w:t>
      </w:r>
    </w:p>
    <w:p w14:paraId="041E3145" w14:textId="77777777" w:rsidR="003741ED" w:rsidRPr="00307F60" w:rsidRDefault="003741ED" w:rsidP="00E36D06">
      <w:pPr>
        <w:spacing w:before="90"/>
        <w:ind w:left="567" w:hanging="567"/>
      </w:pPr>
      <w:r>
        <w:t>7</w:t>
      </w:r>
      <w:r>
        <w:tab/>
      </w:r>
      <w:r w:rsidRPr="00307F60">
        <w:t>promotion of the use of quality assurance management techniques by water supply authorities, including adequate documentation of management procedures, monitoring procedures and contingency plans</w:t>
      </w:r>
    </w:p>
    <w:p w14:paraId="041E3146" w14:textId="77777777" w:rsidR="003741ED" w:rsidRPr="00307F60" w:rsidRDefault="003741ED" w:rsidP="00E36D06">
      <w:pPr>
        <w:spacing w:before="90"/>
        <w:ind w:left="567" w:hanging="567"/>
      </w:pPr>
      <w:r>
        <w:t>8</w:t>
      </w:r>
      <w:r>
        <w:tab/>
      </w:r>
      <w:r w:rsidRPr="00307F60">
        <w:t xml:space="preserve">provision of </w:t>
      </w:r>
      <w:r>
        <w:t>the</w:t>
      </w:r>
      <w:r w:rsidRPr="00307F60">
        <w:t xml:space="preserve"> electronic database Water </w:t>
      </w:r>
      <w:r>
        <w:t>Information, New Zealand (WINZ)</w:t>
      </w:r>
      <w:r w:rsidRPr="00307F60">
        <w:t xml:space="preserve"> to provide for the recording of all aspects of drinking-water supply performance and enable the assessment and reportin</w:t>
      </w:r>
      <w:r>
        <w:t>g of improvement in performance</w:t>
      </w:r>
    </w:p>
    <w:p w14:paraId="041E3147" w14:textId="77777777" w:rsidR="003741ED" w:rsidRPr="00307F60" w:rsidRDefault="003741ED" w:rsidP="00E36D06">
      <w:pPr>
        <w:spacing w:before="90"/>
        <w:ind w:left="567" w:hanging="567"/>
      </w:pPr>
      <w:r>
        <w:t>9</w:t>
      </w:r>
      <w:r>
        <w:tab/>
      </w:r>
      <w:r w:rsidRPr="00307F60">
        <w:t>preparing for consultation on legislation to strengthen the implementation of the strategy</w:t>
      </w:r>
    </w:p>
    <w:p w14:paraId="041E3148" w14:textId="77777777" w:rsidR="003741ED" w:rsidRPr="00307F60" w:rsidRDefault="003741ED" w:rsidP="00E36D06">
      <w:pPr>
        <w:spacing w:before="90"/>
        <w:ind w:left="567" w:hanging="567"/>
      </w:pPr>
      <w:r>
        <w:t>10</w:t>
      </w:r>
      <w:r>
        <w:tab/>
      </w:r>
      <w:r w:rsidRPr="00307F60">
        <w:t xml:space="preserve">implementation of the overall strategy by a </w:t>
      </w:r>
      <w:r>
        <w:t>‘</w:t>
      </w:r>
      <w:r w:rsidRPr="00307F60">
        <w:t>ratchet</w:t>
      </w:r>
      <w:r>
        <w:t>’</w:t>
      </w:r>
      <w:r w:rsidRPr="00307F60">
        <w:t xml:space="preserve"> process that improves performance in </w:t>
      </w:r>
      <w:r>
        <w:t>‘</w:t>
      </w:r>
      <w:r w:rsidRPr="00307F60">
        <w:t>digestible</w:t>
      </w:r>
      <w:r>
        <w:t>’</w:t>
      </w:r>
      <w:r w:rsidRPr="00307F60">
        <w:t xml:space="preserve"> steps in one area and </w:t>
      </w:r>
      <w:r>
        <w:t>t</w:t>
      </w:r>
      <w:r w:rsidRPr="00307F60">
        <w:t>o facilitate advance in another area where progress had previously been difficult.</w:t>
      </w:r>
    </w:p>
    <w:p w14:paraId="041E3149" w14:textId="77777777" w:rsidR="003741ED" w:rsidRPr="00307F60" w:rsidRDefault="003741ED" w:rsidP="00E36D06"/>
    <w:p w14:paraId="041E314A" w14:textId="77777777" w:rsidR="003741ED" w:rsidRPr="00320B23" w:rsidRDefault="003741ED" w:rsidP="00E36D06">
      <w:pPr>
        <w:pStyle w:val="Heading3"/>
      </w:pPr>
      <w:bookmarkStart w:id="52" w:name="_Toc362013179"/>
      <w:bookmarkStart w:id="53" w:name="_Toc364704285"/>
      <w:bookmarkStart w:id="54" w:name="_Toc2333423"/>
      <w:bookmarkStart w:id="55" w:name="_Toc8979308"/>
      <w:r w:rsidRPr="00320B23">
        <w:t>P</w:t>
      </w:r>
      <w:r>
        <w:t>lanned milestones</w:t>
      </w:r>
      <w:bookmarkEnd w:id="52"/>
      <w:bookmarkEnd w:id="53"/>
      <w:bookmarkEnd w:id="54"/>
      <w:bookmarkEnd w:id="55"/>
    </w:p>
    <w:p w14:paraId="041E314B" w14:textId="77777777" w:rsidR="003741ED" w:rsidRPr="00436E80" w:rsidRDefault="003741ED" w:rsidP="00E36D06">
      <w:pPr>
        <w:pStyle w:val="Bullet"/>
      </w:pPr>
      <w:r w:rsidRPr="00307F60">
        <w:t xml:space="preserve">Obtain a </w:t>
      </w:r>
      <w:r w:rsidRPr="00436E80">
        <w:t>clear understanding, by the end of 1996, of who will take responsibility for each of the various categories of community drinking-water supplies.</w:t>
      </w:r>
    </w:p>
    <w:p w14:paraId="041E314C" w14:textId="77777777" w:rsidR="003741ED" w:rsidRPr="00436E80" w:rsidRDefault="003741ED" w:rsidP="00E36D06">
      <w:pPr>
        <w:pStyle w:val="Bullet"/>
      </w:pPr>
      <w:r w:rsidRPr="00436E80">
        <w:t>Achieve implementation, by the end of 1997, of a programme of self-monitoring by the water suppliers, audited by health agencies, in 95 percent of all community drinking-water supplies.</w:t>
      </w:r>
    </w:p>
    <w:p w14:paraId="041E314D" w14:textId="77777777" w:rsidR="003741ED" w:rsidRPr="00436E80" w:rsidRDefault="003741ED" w:rsidP="00E36D06">
      <w:pPr>
        <w:pStyle w:val="Bullet"/>
      </w:pPr>
      <w:r w:rsidRPr="00436E80">
        <w:t>Achieve informed community discussion and decision-making on public health safety issues on drinking-water by the end of 1997.</w:t>
      </w:r>
    </w:p>
    <w:p w14:paraId="041E314E" w14:textId="77777777" w:rsidR="003741ED" w:rsidRPr="00307F60" w:rsidRDefault="003741ED" w:rsidP="00E36D06">
      <w:pPr>
        <w:pStyle w:val="Bullet"/>
      </w:pPr>
      <w:r w:rsidRPr="00436E80">
        <w:t xml:space="preserve">Achieve </w:t>
      </w:r>
      <w:r>
        <w:t>potable</w:t>
      </w:r>
      <w:r w:rsidRPr="00436E80">
        <w:t xml:space="preserve"> drinking</w:t>
      </w:r>
      <w:r w:rsidRPr="00307F60">
        <w:t>-water in:</w:t>
      </w:r>
    </w:p>
    <w:p w14:paraId="041E314F" w14:textId="77777777" w:rsidR="003741ED" w:rsidRPr="00436E80" w:rsidRDefault="003741ED" w:rsidP="00E36D06">
      <w:pPr>
        <w:pStyle w:val="Dash"/>
      </w:pPr>
      <w:r w:rsidRPr="00307F60">
        <w:t xml:space="preserve">95 </w:t>
      </w:r>
      <w:r w:rsidRPr="00436E80">
        <w:t>percent of all large community drinking-water supplies (large = over 500 population supplied) by the end of 1996</w:t>
      </w:r>
    </w:p>
    <w:p w14:paraId="041E3150" w14:textId="77777777" w:rsidR="003741ED" w:rsidRDefault="003741ED" w:rsidP="00E36D06">
      <w:pPr>
        <w:pStyle w:val="Dash"/>
      </w:pPr>
      <w:r w:rsidRPr="00436E80">
        <w:t>90 percent of all small community drinking-water supplies (small = 25 to 500 popul</w:t>
      </w:r>
      <w:r w:rsidRPr="00307F60">
        <w:t>ation supplied) by the end of 1998.</w:t>
      </w:r>
    </w:p>
    <w:p w14:paraId="041E3151" w14:textId="77777777" w:rsidR="003741ED" w:rsidRDefault="003741ED" w:rsidP="00E36D06"/>
    <w:p w14:paraId="041E3152" w14:textId="77777777" w:rsidR="003741ED" w:rsidRPr="00307F60" w:rsidRDefault="003741ED" w:rsidP="00E36D06">
      <w:r>
        <w:t>These targets are now for population groups rather than supplies.</w:t>
      </w:r>
    </w:p>
    <w:p w14:paraId="041E3153" w14:textId="77777777" w:rsidR="003741ED" w:rsidRPr="00307F60" w:rsidRDefault="003741ED" w:rsidP="00E36D06"/>
    <w:p w14:paraId="041E3154" w14:textId="77777777" w:rsidR="003741ED" w:rsidRPr="00320B23" w:rsidRDefault="003741ED" w:rsidP="00E36D06">
      <w:pPr>
        <w:pStyle w:val="Heading3"/>
      </w:pPr>
      <w:bookmarkStart w:id="56" w:name="_Toc339166882"/>
      <w:bookmarkStart w:id="57" w:name="_Toc339347478"/>
      <w:bookmarkStart w:id="58" w:name="_Toc339686572"/>
      <w:bookmarkStart w:id="59" w:name="_Toc339692324"/>
      <w:bookmarkStart w:id="60" w:name="_Toc339698637"/>
      <w:bookmarkStart w:id="61" w:name="_Toc339776733"/>
      <w:bookmarkStart w:id="62" w:name="_Toc339776854"/>
      <w:bookmarkStart w:id="63" w:name="_Toc362013180"/>
      <w:bookmarkStart w:id="64" w:name="_Toc364704286"/>
      <w:bookmarkStart w:id="65" w:name="_Toc2333424"/>
      <w:bookmarkStart w:id="66" w:name="_Toc8979309"/>
      <w:r w:rsidRPr="00320B23">
        <w:t>D</w:t>
      </w:r>
      <w:r>
        <w:t>esired outcomes</w:t>
      </w:r>
      <w:bookmarkEnd w:id="56"/>
      <w:bookmarkEnd w:id="57"/>
      <w:bookmarkEnd w:id="58"/>
      <w:bookmarkEnd w:id="59"/>
      <w:bookmarkEnd w:id="60"/>
      <w:bookmarkEnd w:id="61"/>
      <w:bookmarkEnd w:id="62"/>
      <w:bookmarkEnd w:id="63"/>
      <w:bookmarkEnd w:id="64"/>
      <w:bookmarkEnd w:id="65"/>
      <w:bookmarkEnd w:id="66"/>
    </w:p>
    <w:p w14:paraId="041E3155" w14:textId="77777777" w:rsidR="003741ED" w:rsidRPr="00436E80" w:rsidRDefault="003741ED" w:rsidP="00E36D06">
      <w:pPr>
        <w:pStyle w:val="Bullet"/>
      </w:pPr>
      <w:r w:rsidRPr="00436E80">
        <w:t>Adequate and effective monitoring of the quality of drinking-water supplies by suppliers.</w:t>
      </w:r>
    </w:p>
    <w:p w14:paraId="041E3156" w14:textId="77777777" w:rsidR="003741ED" w:rsidRPr="00436E80" w:rsidRDefault="003741ED" w:rsidP="00E36D06">
      <w:pPr>
        <w:pStyle w:val="Bullet"/>
      </w:pPr>
      <w:r w:rsidRPr="00436E80">
        <w:t>Sufficient knowledge and awareness of public health issues for the public to enable their effective participation in decision-making about public health issues relating to community drinking-water supplies.</w:t>
      </w:r>
    </w:p>
    <w:p w14:paraId="041E3157" w14:textId="77777777" w:rsidR="003741ED" w:rsidRPr="00436E80" w:rsidRDefault="003741ED" w:rsidP="00E36D06">
      <w:pPr>
        <w:pStyle w:val="Bullet"/>
      </w:pPr>
      <w:r w:rsidRPr="00436E80">
        <w:t>Competent health officers assessing the quality of water supplies to a consistent standard throughout the country.</w:t>
      </w:r>
    </w:p>
    <w:p w14:paraId="041E3158" w14:textId="77777777" w:rsidR="003741ED" w:rsidRPr="00436E80" w:rsidRDefault="003741ED" w:rsidP="00E36D06">
      <w:pPr>
        <w:pStyle w:val="Bullet"/>
      </w:pPr>
      <w:r w:rsidRPr="00436E80">
        <w:t>Improved public health safety standards for community and private drinking-water supplies.</w:t>
      </w:r>
    </w:p>
    <w:p w14:paraId="041E3159" w14:textId="77777777" w:rsidR="003741ED" w:rsidRPr="00A51AA8" w:rsidRDefault="003741ED" w:rsidP="00E36D06">
      <w:pPr>
        <w:pStyle w:val="Bullet"/>
        <w:rPr>
          <w:spacing w:val="-2"/>
        </w:rPr>
      </w:pPr>
      <w:r w:rsidRPr="00A51AA8">
        <w:rPr>
          <w:spacing w:val="-2"/>
        </w:rPr>
        <w:t>An effective statutory basis for the public health protection of drinking-water supplies.</w:t>
      </w:r>
    </w:p>
    <w:p w14:paraId="041E315A" w14:textId="77777777" w:rsidR="003741ED" w:rsidRPr="00307F60" w:rsidRDefault="003741ED" w:rsidP="00E36D06"/>
    <w:p w14:paraId="041E315B" w14:textId="77777777" w:rsidR="003741ED" w:rsidRPr="00320B23" w:rsidRDefault="003741ED" w:rsidP="00E36D06">
      <w:pPr>
        <w:pStyle w:val="Heading3"/>
      </w:pPr>
      <w:bookmarkStart w:id="67" w:name="_Toc362013181"/>
      <w:bookmarkStart w:id="68" w:name="_Toc364704287"/>
      <w:bookmarkStart w:id="69" w:name="_Toc2333425"/>
      <w:bookmarkStart w:id="70" w:name="_Toc8979310"/>
      <w:r>
        <w:t>P</w:t>
      </w:r>
      <w:r w:rsidRPr="00320B23">
        <w:t xml:space="preserve">romotion of awareness of public health issues related to </w:t>
      </w:r>
      <w:r w:rsidRPr="00436E80">
        <w:t>drinking</w:t>
      </w:r>
      <w:r w:rsidRPr="00320B23">
        <w:t>-water</w:t>
      </w:r>
      <w:bookmarkEnd w:id="67"/>
      <w:bookmarkEnd w:id="68"/>
      <w:bookmarkEnd w:id="69"/>
      <w:bookmarkEnd w:id="70"/>
    </w:p>
    <w:p w14:paraId="041E315C" w14:textId="77777777" w:rsidR="003741ED" w:rsidRPr="00307F60" w:rsidRDefault="003741ED" w:rsidP="00E36D06">
      <w:r w:rsidRPr="00307F60">
        <w:t xml:space="preserve">This was achieved </w:t>
      </w:r>
      <w:r>
        <w:t>by p</w:t>
      </w:r>
      <w:r w:rsidRPr="00307F60">
        <w:t xml:space="preserve">ublication of reports on the public health grading of community drinking-water supplies and on the presence of determinands of public health concern found in the supplies (Priority </w:t>
      </w:r>
      <w:r>
        <w:t xml:space="preserve">1 and </w:t>
      </w:r>
      <w:r w:rsidRPr="00307F60">
        <w:t xml:space="preserve">2 determinands) commenced in the </w:t>
      </w:r>
      <w:r w:rsidRPr="00CE6F02">
        <w:rPr>
          <w:i/>
        </w:rPr>
        <w:t>Register of Community Drinking-water Supplies in New Zealand</w:t>
      </w:r>
      <w:r w:rsidRPr="00307F60">
        <w:t xml:space="preserve"> in 1993 and immediately attracted media attention.</w:t>
      </w:r>
    </w:p>
    <w:p w14:paraId="041E315D" w14:textId="77777777" w:rsidR="003741ED" w:rsidRPr="00307F60" w:rsidRDefault="003741ED" w:rsidP="00E36D06"/>
    <w:p w14:paraId="041E315E" w14:textId="77777777" w:rsidR="003741ED" w:rsidRPr="00A51AA8" w:rsidRDefault="003741ED" w:rsidP="00A51AA8">
      <w:pPr>
        <w:ind w:right="-142"/>
        <w:rPr>
          <w:spacing w:val="-2"/>
        </w:rPr>
      </w:pPr>
      <w:r w:rsidRPr="00A51AA8">
        <w:rPr>
          <w:spacing w:val="-2"/>
        </w:rPr>
        <w:t xml:space="preserve">Copies of the </w:t>
      </w:r>
      <w:r w:rsidRPr="00A51AA8">
        <w:rPr>
          <w:i/>
          <w:spacing w:val="-2"/>
        </w:rPr>
        <w:t>Drinking-water Standards for New Zealand 1995</w:t>
      </w:r>
      <w:r w:rsidRPr="00A51AA8">
        <w:rPr>
          <w:spacing w:val="-2"/>
        </w:rPr>
        <w:t xml:space="preserve">, the </w:t>
      </w:r>
      <w:r w:rsidRPr="00A51AA8">
        <w:rPr>
          <w:i/>
          <w:spacing w:val="-2"/>
        </w:rPr>
        <w:t>Guidelines for Drinking-water Quality Management in New Zealand 1995</w:t>
      </w:r>
      <w:r w:rsidRPr="00A51AA8">
        <w:rPr>
          <w:spacing w:val="-2"/>
        </w:rPr>
        <w:t xml:space="preserve"> and the </w:t>
      </w:r>
      <w:r w:rsidRPr="00A51AA8">
        <w:rPr>
          <w:i/>
          <w:spacing w:val="-2"/>
        </w:rPr>
        <w:t>Register of Community Drinking-water Supplies in New Zealand</w:t>
      </w:r>
      <w:r w:rsidRPr="00A51AA8">
        <w:rPr>
          <w:spacing w:val="-2"/>
        </w:rPr>
        <w:t xml:space="preserve"> (which was originally published approximately twice a year), were placed in every public library in the country to ensure that authoritative information on drinking-water quality management was freely available.</w:t>
      </w:r>
    </w:p>
    <w:p w14:paraId="041E315F" w14:textId="77777777" w:rsidR="003741ED" w:rsidRPr="00307F60" w:rsidRDefault="003741ED" w:rsidP="00E36D06"/>
    <w:p w14:paraId="041E3160" w14:textId="77777777" w:rsidR="003741ED" w:rsidRPr="00320B23" w:rsidRDefault="003741ED" w:rsidP="00E36D06">
      <w:pPr>
        <w:pStyle w:val="Heading3"/>
      </w:pPr>
      <w:bookmarkStart w:id="71" w:name="_Toc362013182"/>
      <w:bookmarkStart w:id="72" w:name="_Toc364704288"/>
      <w:bookmarkStart w:id="73" w:name="_Toc2333426"/>
      <w:bookmarkStart w:id="74" w:name="_Toc8979311"/>
      <w:r w:rsidRPr="00436E80">
        <w:t>Outputs</w:t>
      </w:r>
      <w:r w:rsidRPr="00320B23">
        <w:t xml:space="preserve"> achieved by 1995</w:t>
      </w:r>
      <w:bookmarkEnd w:id="71"/>
      <w:bookmarkEnd w:id="72"/>
      <w:bookmarkEnd w:id="73"/>
      <w:bookmarkEnd w:id="74"/>
    </w:p>
    <w:p w14:paraId="041E3161" w14:textId="77777777" w:rsidR="003741ED" w:rsidRPr="00307F60" w:rsidRDefault="003741ED" w:rsidP="00E36D06">
      <w:r w:rsidRPr="00307F60">
        <w:t xml:space="preserve">A number of the planned outputs were achieved or </w:t>
      </w:r>
      <w:r>
        <w:t xml:space="preserve">were </w:t>
      </w:r>
      <w:r w:rsidRPr="00307F60">
        <w:t>well advanced in the first three years.</w:t>
      </w:r>
    </w:p>
    <w:p w14:paraId="041E3162" w14:textId="77777777" w:rsidR="003741ED" w:rsidRPr="00436E80" w:rsidRDefault="003741ED" w:rsidP="00E36D06">
      <w:pPr>
        <w:pStyle w:val="Bullet"/>
      </w:pPr>
      <w:r w:rsidRPr="00436E80">
        <w:t>Publication of the public health grading, together with drinking-water sources, of treatment plants and distribution zones commenced at the end of 1993.</w:t>
      </w:r>
    </w:p>
    <w:p w14:paraId="041E3163" w14:textId="77777777" w:rsidR="003741ED" w:rsidRPr="00436E80" w:rsidRDefault="003741ED" w:rsidP="00E36D06">
      <w:pPr>
        <w:pStyle w:val="Bullet"/>
      </w:pPr>
      <w:r w:rsidRPr="00436E80">
        <w:t xml:space="preserve">The 1984 </w:t>
      </w:r>
      <w:r w:rsidRPr="00AB6CC7">
        <w:rPr>
          <w:i/>
        </w:rPr>
        <w:t>Drinking-water Standards for New Zealand</w:t>
      </w:r>
      <w:r w:rsidRPr="00436E80">
        <w:t xml:space="preserve"> were revised by the end of 1994 and published in 1995.</w:t>
      </w:r>
    </w:p>
    <w:p w14:paraId="041E3164" w14:textId="77777777" w:rsidR="003741ED" w:rsidRPr="00436E80" w:rsidRDefault="003741ED" w:rsidP="00E36D06">
      <w:pPr>
        <w:pStyle w:val="Bullet"/>
      </w:pPr>
      <w:r w:rsidRPr="00436E80">
        <w:t>Most large community drinking-water supply treatment plants had been graded by the end of 1994.</w:t>
      </w:r>
    </w:p>
    <w:p w14:paraId="041E3165" w14:textId="77777777" w:rsidR="003741ED" w:rsidRPr="00436E80" w:rsidRDefault="003741ED" w:rsidP="00E36D06">
      <w:pPr>
        <w:pStyle w:val="Bullet"/>
      </w:pPr>
      <w:r w:rsidRPr="00436E80">
        <w:t>Standards for drinking-water data and data transfer were in place by mid</w:t>
      </w:r>
      <w:r>
        <w:t>-</w:t>
      </w:r>
      <w:r w:rsidRPr="00436E80">
        <w:t>1994.</w:t>
      </w:r>
    </w:p>
    <w:p w14:paraId="041E3166" w14:textId="77777777" w:rsidR="003741ED" w:rsidRDefault="003741ED" w:rsidP="00E36D06">
      <w:pPr>
        <w:pStyle w:val="Bullet"/>
      </w:pPr>
      <w:r w:rsidRPr="00436E80">
        <w:t xml:space="preserve">New </w:t>
      </w:r>
      <w:r>
        <w:t>r</w:t>
      </w:r>
      <w:r w:rsidRPr="00436E80">
        <w:t>egulations for drinking-water quality management had not been achieved by 1995, but a discussion</w:t>
      </w:r>
      <w:r w:rsidRPr="00307F60">
        <w:t xml:space="preserve"> paper on the need for drinking-water legi</w:t>
      </w:r>
      <w:r>
        <w:t>sl</w:t>
      </w:r>
      <w:r w:rsidRPr="00307F60">
        <w:t>ation was in preparation.</w:t>
      </w:r>
    </w:p>
    <w:p w14:paraId="041E3167" w14:textId="77777777" w:rsidR="003741ED" w:rsidRPr="00307F60" w:rsidRDefault="003741ED" w:rsidP="00E36D06"/>
    <w:p w14:paraId="041E3168" w14:textId="77777777" w:rsidR="003741ED" w:rsidRPr="00320B23" w:rsidRDefault="003741ED" w:rsidP="00E36D06">
      <w:pPr>
        <w:pStyle w:val="Heading2"/>
      </w:pPr>
      <w:bookmarkStart w:id="75" w:name="_Toc362013183"/>
      <w:bookmarkStart w:id="76" w:name="_Toc364704289"/>
      <w:bookmarkStart w:id="77" w:name="_Toc485635039"/>
      <w:bookmarkStart w:id="78" w:name="_Toc2333427"/>
      <w:bookmarkStart w:id="79" w:name="_Ref8974430"/>
      <w:bookmarkStart w:id="80" w:name="_Toc8979312"/>
      <w:r>
        <w:t>S</w:t>
      </w:r>
      <w:r w:rsidRPr="00320B23">
        <w:t>trategy development</w:t>
      </w:r>
      <w:r w:rsidR="00E36D06">
        <w:br/>
      </w:r>
      <w:r w:rsidRPr="00320B23">
        <w:t>1995–2000</w:t>
      </w:r>
      <w:bookmarkEnd w:id="75"/>
      <w:bookmarkEnd w:id="76"/>
      <w:bookmarkEnd w:id="77"/>
      <w:bookmarkEnd w:id="78"/>
      <w:bookmarkEnd w:id="79"/>
      <w:bookmarkEnd w:id="80"/>
    </w:p>
    <w:p w14:paraId="041E3169" w14:textId="77777777" w:rsidR="003741ED" w:rsidRPr="00320B23" w:rsidRDefault="003741ED" w:rsidP="00E36D06">
      <w:pPr>
        <w:pStyle w:val="Heading3"/>
      </w:pPr>
      <w:bookmarkStart w:id="81" w:name="_Toc362013184"/>
      <w:bookmarkStart w:id="82" w:name="_Toc364704290"/>
      <w:bookmarkStart w:id="83" w:name="_Toc2333428"/>
      <w:bookmarkStart w:id="84" w:name="_Toc8979313"/>
      <w:r w:rsidRPr="00320B23">
        <w:t>C</w:t>
      </w:r>
      <w:r>
        <w:t>onsultation</w:t>
      </w:r>
      <w:bookmarkEnd w:id="81"/>
      <w:bookmarkEnd w:id="82"/>
      <w:bookmarkEnd w:id="83"/>
      <w:bookmarkEnd w:id="84"/>
    </w:p>
    <w:p w14:paraId="041E316A" w14:textId="77777777" w:rsidR="003741ED" w:rsidRPr="00174CC4" w:rsidRDefault="003741ED" w:rsidP="00E36D06">
      <w:r w:rsidRPr="00174CC4">
        <w:t>In 1995 a public discussion paper</w:t>
      </w:r>
      <w:r w:rsidRPr="00E36D06">
        <w:rPr>
          <w:rStyle w:val="FootnoteReference"/>
        </w:rPr>
        <w:footnoteReference w:id="5"/>
      </w:r>
      <w:r w:rsidRPr="00174CC4">
        <w:t xml:space="preserve"> on the introduction of the Ministry</w:t>
      </w:r>
      <w:r>
        <w:t>’</w:t>
      </w:r>
      <w:r w:rsidRPr="00174CC4">
        <w:t>s 1994 policy was published and public meetings on it were held in the four main centres in association with the NZWWA.</w:t>
      </w:r>
    </w:p>
    <w:p w14:paraId="041E316B" w14:textId="77777777" w:rsidR="003741ED" w:rsidRPr="00307F60" w:rsidRDefault="003741ED" w:rsidP="00E36D06"/>
    <w:p w14:paraId="041E316C" w14:textId="77777777" w:rsidR="003741ED" w:rsidRPr="00307F60" w:rsidRDefault="003741ED" w:rsidP="00E36D06">
      <w:r w:rsidRPr="00307F60">
        <w:t>Based on the feedback from the 1995 paper a further discussion paper</w:t>
      </w:r>
      <w:r w:rsidRPr="00E36D06">
        <w:rPr>
          <w:rStyle w:val="FootnoteReference"/>
        </w:rPr>
        <w:footnoteReference w:id="6"/>
      </w:r>
      <w:r w:rsidRPr="00307F60">
        <w:t xml:space="preserve"> was produced in 1998 which reviewed all N</w:t>
      </w:r>
      <w:r>
        <w:t xml:space="preserve">ew </w:t>
      </w:r>
      <w:r w:rsidRPr="00307F60">
        <w:t>Z</w:t>
      </w:r>
      <w:r>
        <w:t>ealand</w:t>
      </w:r>
      <w:r w:rsidRPr="00307F60">
        <w:t xml:space="preserve"> l</w:t>
      </w:r>
      <w:r>
        <w:t>egislation relating to drinking-</w:t>
      </w:r>
      <w:r w:rsidRPr="00307F60">
        <w:t>water and outlined options for consolidating the legislation.</w:t>
      </w:r>
      <w:r>
        <w:t xml:space="preserve"> </w:t>
      </w:r>
      <w:r w:rsidRPr="00307F60">
        <w:t>This underwent consultation similar to that held on the 1995 paper, with similar results.</w:t>
      </w:r>
    </w:p>
    <w:p w14:paraId="041E316D" w14:textId="77777777" w:rsidR="003741ED" w:rsidRDefault="003741ED" w:rsidP="00E36D06"/>
    <w:p w14:paraId="041E316E" w14:textId="77777777" w:rsidR="003741ED" w:rsidRDefault="003741ED" w:rsidP="00A51AA8">
      <w:pPr>
        <w:pStyle w:val="Heading3"/>
        <w:spacing w:after="120"/>
      </w:pPr>
      <w:bookmarkStart w:id="85" w:name="_Toc362013185"/>
      <w:bookmarkStart w:id="86" w:name="_Toc364704291"/>
      <w:bookmarkStart w:id="87" w:name="_Toc2333429"/>
      <w:bookmarkStart w:id="88" w:name="_Toc8979314"/>
      <w:r w:rsidRPr="00320B23">
        <w:t>I</w:t>
      </w:r>
      <w:r>
        <w:t>nclusion of protozoa in the DWSNZ</w:t>
      </w:r>
      <w:bookmarkEnd w:id="85"/>
      <w:bookmarkEnd w:id="86"/>
      <w:bookmarkEnd w:id="87"/>
      <w:bookmarkEnd w:id="88"/>
    </w:p>
    <w:p w14:paraId="041E316F" w14:textId="77777777" w:rsidR="003741ED" w:rsidRPr="00A51AA8" w:rsidRDefault="003741ED" w:rsidP="00A51AA8">
      <w:pPr>
        <w:ind w:right="-142"/>
        <w:rPr>
          <w:spacing w:val="-2"/>
        </w:rPr>
      </w:pPr>
      <w:r w:rsidRPr="00A51AA8">
        <w:rPr>
          <w:spacing w:val="-2"/>
        </w:rPr>
        <w:t xml:space="preserve">Prior to 1990, the focus of waterborne disease prevention was on bacterial pathogens and much work was in progress to determine whether faecal coliforms (thermotolerant coliforms, enterococci or </w:t>
      </w:r>
      <w:r w:rsidRPr="00A51AA8">
        <w:rPr>
          <w:i/>
          <w:spacing w:val="-2"/>
        </w:rPr>
        <w:t>Clostridium</w:t>
      </w:r>
      <w:r w:rsidRPr="00A51AA8">
        <w:rPr>
          <w:spacing w:val="-2"/>
        </w:rPr>
        <w:t xml:space="preserve"> spp were the best indicators of the presence of faecal contamination. Work was also in progress to distinguish between organisms of human and animal origin because it was thought that animal organisms would not be pathogenic to humans. In the early 1990s it became evident that </w:t>
      </w:r>
      <w:r w:rsidRPr="00A51AA8">
        <w:rPr>
          <w:i/>
          <w:spacing w:val="-2"/>
        </w:rPr>
        <w:t>Giardia</w:t>
      </w:r>
      <w:r w:rsidRPr="00A51AA8">
        <w:rPr>
          <w:spacing w:val="-2"/>
        </w:rPr>
        <w:t xml:space="preserve"> was a significant emergent waterborne disease in New Zealand. Consequently public health management of </w:t>
      </w:r>
      <w:r w:rsidRPr="00A51AA8">
        <w:rPr>
          <w:i/>
          <w:spacing w:val="-2"/>
        </w:rPr>
        <w:t>Giardia</w:t>
      </w:r>
      <w:r w:rsidRPr="00A51AA8">
        <w:rPr>
          <w:spacing w:val="-2"/>
        </w:rPr>
        <w:t xml:space="preserve"> and </w:t>
      </w:r>
      <w:r w:rsidRPr="00A51AA8">
        <w:rPr>
          <w:i/>
          <w:spacing w:val="-2"/>
        </w:rPr>
        <w:t>Cryptosporidium</w:t>
      </w:r>
      <w:r w:rsidRPr="00A51AA8">
        <w:rPr>
          <w:spacing w:val="-2"/>
        </w:rPr>
        <w:t xml:space="preserve"> was addressed in the 1995 and 2000 DWSNZ. Because of the difficulty of monitoring these protozoa directly, control in the 1995 and 2000 standards was by specifying turbidity (as a surrogate for particle counts) and filter pore size.</w:t>
      </w:r>
    </w:p>
    <w:p w14:paraId="041E3170" w14:textId="77777777" w:rsidR="003741ED" w:rsidRPr="00307F60" w:rsidRDefault="003741ED" w:rsidP="00E36D06"/>
    <w:p w14:paraId="041E3171" w14:textId="77777777" w:rsidR="003741ED" w:rsidRPr="00320B23" w:rsidRDefault="003741ED" w:rsidP="00A51AA8">
      <w:pPr>
        <w:pStyle w:val="Heading3"/>
        <w:spacing w:before="180" w:after="120"/>
      </w:pPr>
      <w:bookmarkStart w:id="89" w:name="_Toc362013186"/>
      <w:bookmarkStart w:id="90" w:name="_Toc364704292"/>
      <w:bookmarkStart w:id="91" w:name="_Toc2333430"/>
      <w:bookmarkStart w:id="92" w:name="_Toc8979315"/>
      <w:r w:rsidRPr="00320B23">
        <w:t>H</w:t>
      </w:r>
      <w:r>
        <w:t>uman resource development</w:t>
      </w:r>
      <w:bookmarkEnd w:id="89"/>
      <w:bookmarkEnd w:id="90"/>
      <w:bookmarkEnd w:id="91"/>
      <w:bookmarkEnd w:id="92"/>
    </w:p>
    <w:p w14:paraId="041E3172" w14:textId="77777777" w:rsidR="003741ED" w:rsidRDefault="003741ED" w:rsidP="00E36D06">
      <w:r w:rsidRPr="00307F60">
        <w:t>Assessment of the results of the first round of drinking-water supply grading carried out after public health grading was introduced in 1993 showed that the level of competence of the DHB health protection officers in assessing the performance of drinking-water supplies was very uneven.</w:t>
      </w:r>
      <w:r>
        <w:t xml:space="preserve"> </w:t>
      </w:r>
      <w:r w:rsidRPr="00307F60">
        <w:t xml:space="preserve">For effective administration of drinking-water quality management legislation it would be essential that the assessment process </w:t>
      </w:r>
      <w:r>
        <w:t>is</w:t>
      </w:r>
      <w:r w:rsidRPr="00307F60">
        <w:t xml:space="preserve"> carried out to a consistent</w:t>
      </w:r>
      <w:r>
        <w:t>ly high level of competence.</w:t>
      </w:r>
    </w:p>
    <w:p w14:paraId="041E3173" w14:textId="77777777" w:rsidR="003741ED" w:rsidRDefault="003741ED" w:rsidP="00E36D06"/>
    <w:p w14:paraId="041E3174" w14:textId="77777777" w:rsidR="003741ED" w:rsidRPr="00307F60" w:rsidRDefault="003741ED" w:rsidP="00E36D06">
      <w:r w:rsidRPr="00307F60">
        <w:t>To prepare for the needs of the proposed legislation, the Ministry sponsored the establishment of a NZQA diploma in drinking-water assessment to provide appropriate training for HPO</w:t>
      </w:r>
      <w:r>
        <w:t>s</w:t>
      </w:r>
      <w:r w:rsidRPr="00307F60">
        <w:t xml:space="preserve"> in drinking-water supply management and operation</w:t>
      </w:r>
      <w:r>
        <w:t>,</w:t>
      </w:r>
      <w:r w:rsidRPr="00307F60">
        <w:t xml:space="preserve"> complemented by training in the legal requirements relating to the</w:t>
      </w:r>
      <w:r>
        <w:t>ir</w:t>
      </w:r>
      <w:r w:rsidRPr="00307F60">
        <w:t xml:space="preserve"> water </w:t>
      </w:r>
      <w:r>
        <w:t xml:space="preserve">supply </w:t>
      </w:r>
      <w:r w:rsidRPr="00307F60">
        <w:t>duties.</w:t>
      </w:r>
      <w:r>
        <w:t xml:space="preserve"> </w:t>
      </w:r>
      <w:r w:rsidRPr="00307F60">
        <w:t>In addition, arrangements were made for the water HPOs to obtain IANZ accreditation to ISO/IEC 17020 specifications for inspe</w:t>
      </w:r>
      <w:r>
        <w:t>ction and assessment. Drinking-</w:t>
      </w:r>
      <w:r w:rsidRPr="00307F60">
        <w:t>water assessment units (DWAUs) were set up in the participating DHBs.</w:t>
      </w:r>
      <w:r>
        <w:t xml:space="preserve"> </w:t>
      </w:r>
      <w:r w:rsidRPr="00307F60">
        <w:t>These were accredited by IANZ as inspection bodies with the officers who were to be appointed as DWAs after the legislation was promulgated</w:t>
      </w:r>
      <w:r>
        <w:t>,</w:t>
      </w:r>
      <w:r w:rsidRPr="00307F60">
        <w:t xml:space="preserve"> being designated as approved signatories for the DWAUs and authorised to use the IANZ logo on reports on the water supply assessments that they had been accredited to perform.</w:t>
      </w:r>
    </w:p>
    <w:p w14:paraId="041E3175" w14:textId="77777777" w:rsidR="003741ED" w:rsidRDefault="003741ED" w:rsidP="00E36D06"/>
    <w:p w14:paraId="041E3176" w14:textId="77777777" w:rsidR="003741ED" w:rsidRPr="00320B23" w:rsidRDefault="003741ED" w:rsidP="00A51AA8">
      <w:pPr>
        <w:pStyle w:val="Heading3"/>
        <w:spacing w:before="180" w:after="120"/>
      </w:pPr>
      <w:bookmarkStart w:id="93" w:name="_Toc362013187"/>
      <w:bookmarkStart w:id="94" w:name="_Toc364704293"/>
      <w:bookmarkStart w:id="95" w:name="_Toc2333431"/>
      <w:bookmarkStart w:id="96" w:name="_Toc8979316"/>
      <w:r w:rsidRPr="00320B23">
        <w:t>DWSNZ 2000</w:t>
      </w:r>
      <w:bookmarkEnd w:id="93"/>
      <w:bookmarkEnd w:id="94"/>
      <w:bookmarkEnd w:id="95"/>
      <w:bookmarkEnd w:id="96"/>
    </w:p>
    <w:p w14:paraId="041E3177" w14:textId="77777777" w:rsidR="003741ED" w:rsidRDefault="003741ED" w:rsidP="00E36D06">
      <w:r>
        <w:t>The 1995 DWSNZ were revised and finally re-issued in 2000 with the assistance of the Expert Committee on Drinking-water Quality. The main changes involved:</w:t>
      </w:r>
    </w:p>
    <w:p w14:paraId="041E3178" w14:textId="77777777" w:rsidR="003741ED" w:rsidRDefault="003741ED" w:rsidP="00E36D06">
      <w:pPr>
        <w:pStyle w:val="Bullet"/>
      </w:pPr>
      <w:r>
        <w:t xml:space="preserve">replacing faecal coliforms as the indicator of faecal contamination to </w:t>
      </w:r>
      <w:r>
        <w:rPr>
          <w:i/>
        </w:rPr>
        <w:t>E. coli</w:t>
      </w:r>
    </w:p>
    <w:p w14:paraId="041E3179" w14:textId="77777777" w:rsidR="003741ED" w:rsidRPr="00F44C8C" w:rsidRDefault="003741ED" w:rsidP="00E36D06">
      <w:pPr>
        <w:pStyle w:val="Bullet"/>
      </w:pPr>
      <w:r>
        <w:t xml:space="preserve">including </w:t>
      </w:r>
      <w:r w:rsidRPr="00CE6F02">
        <w:rPr>
          <w:i/>
        </w:rPr>
        <w:t>Cryptosporidium</w:t>
      </w:r>
      <w:r>
        <w:t xml:space="preserve"> in the protozoal compliance section. </w:t>
      </w:r>
      <w:r w:rsidRPr="00F44C8C">
        <w:t>In the decade after 1995 the understanding of the public health importa</w:t>
      </w:r>
      <w:r>
        <w:t xml:space="preserve">nce of </w:t>
      </w:r>
      <w:r w:rsidRPr="00F44C8C">
        <w:t xml:space="preserve">protozoa in drinking-water increased rapidly and the importance of </w:t>
      </w:r>
      <w:r w:rsidRPr="00CE6F02">
        <w:rPr>
          <w:i/>
        </w:rPr>
        <w:t>Cryptosporidium</w:t>
      </w:r>
      <w:r w:rsidRPr="00F44C8C">
        <w:t xml:space="preserve"> as a major new waterborne pathogen that was resistant to conventional disinfection procedures or practices rapidly overtook that of </w:t>
      </w:r>
      <w:r w:rsidRPr="00CE6F02">
        <w:rPr>
          <w:i/>
        </w:rPr>
        <w:t>Giardia</w:t>
      </w:r>
      <w:r w:rsidRPr="00F44C8C">
        <w:t>.</w:t>
      </w:r>
      <w:r>
        <w:t xml:space="preserve"> </w:t>
      </w:r>
      <w:r w:rsidRPr="00F44C8C">
        <w:t xml:space="preserve">The scientific understanding of </w:t>
      </w:r>
      <w:r w:rsidRPr="00CE6F02">
        <w:rPr>
          <w:i/>
        </w:rPr>
        <w:t>Cryptosporidium</w:t>
      </w:r>
      <w:r w:rsidRPr="00F44C8C">
        <w:t xml:space="preserve"> management advanced with extreme rapidity and by 200</w:t>
      </w:r>
      <w:r>
        <w:t>0</w:t>
      </w:r>
      <w:r w:rsidRPr="00F44C8C">
        <w:t xml:space="preserve"> it became necessary to update the </w:t>
      </w:r>
      <w:r>
        <w:t>1995</w:t>
      </w:r>
      <w:r w:rsidRPr="00F44C8C">
        <w:t xml:space="preserve"> </w:t>
      </w:r>
      <w:r>
        <w:t>DWSNZ</w:t>
      </w:r>
      <w:r w:rsidRPr="00F44C8C">
        <w:t xml:space="preserve"> to incorporate the new knowledge.</w:t>
      </w:r>
      <w:r>
        <w:t xml:space="preserve"> </w:t>
      </w:r>
      <w:r w:rsidRPr="00CE6F02">
        <w:rPr>
          <w:i/>
        </w:rPr>
        <w:t>Cryptosporidium</w:t>
      </w:r>
      <w:r w:rsidRPr="00F44C8C">
        <w:t xml:space="preserve"> was selected as the representative protozoan because it is the most difficult to control in drinking-water</w:t>
      </w:r>
    </w:p>
    <w:p w14:paraId="041E317A" w14:textId="77777777" w:rsidR="003741ED" w:rsidRDefault="003741ED" w:rsidP="00E36D06">
      <w:pPr>
        <w:pStyle w:val="Bullet"/>
      </w:pPr>
      <w:r>
        <w:t xml:space="preserve">introducing monitoring requirements for ozone and chlorine dioxide disinfection to meet the protozoal requirements, and removing the C.t tables for </w:t>
      </w:r>
      <w:r w:rsidRPr="00CE6F02">
        <w:rPr>
          <w:i/>
        </w:rPr>
        <w:t>Giardia</w:t>
      </w:r>
      <w:r>
        <w:t xml:space="preserve"> inactivation</w:t>
      </w:r>
      <w:r w:rsidRPr="00CE6F02">
        <w:t xml:space="preserve"> </w:t>
      </w:r>
      <w:r>
        <w:t>using chlorine</w:t>
      </w:r>
    </w:p>
    <w:p w14:paraId="041E317B" w14:textId="77777777" w:rsidR="003741ED" w:rsidRDefault="003741ED" w:rsidP="00E36D06">
      <w:pPr>
        <w:pStyle w:val="Bullet"/>
      </w:pPr>
      <w:r>
        <w:t>the use of Bayesian statistics to guide the derivation of monitoring frequencies and acceptable transgression rates</w:t>
      </w:r>
    </w:p>
    <w:p w14:paraId="041E317C" w14:textId="77777777" w:rsidR="003741ED" w:rsidRPr="004E2F49" w:rsidRDefault="003741ED" w:rsidP="00E36D06">
      <w:pPr>
        <w:pStyle w:val="Bullet"/>
      </w:pPr>
      <w:r>
        <w:t xml:space="preserve">updating the MAVs based in the 1998 revision of the 2nd edition of the WHO </w:t>
      </w:r>
      <w:r w:rsidRPr="00CE6F02">
        <w:rPr>
          <w:i/>
        </w:rPr>
        <w:t>Guidelines for Drinking-water Quality</w:t>
      </w:r>
    </w:p>
    <w:p w14:paraId="041E317D" w14:textId="77777777" w:rsidR="003741ED" w:rsidRDefault="003741ED" w:rsidP="00E36D06">
      <w:pPr>
        <w:pStyle w:val="Bullet"/>
      </w:pPr>
      <w:r>
        <w:t>including PMAVs for</w:t>
      </w:r>
      <w:r w:rsidRPr="00A13666">
        <w:t xml:space="preserve"> cyanotoxins</w:t>
      </w:r>
      <w:r w:rsidR="00E36D06">
        <w:t>.</w:t>
      </w:r>
    </w:p>
    <w:p w14:paraId="041E317E" w14:textId="77777777" w:rsidR="003741ED" w:rsidRPr="00307F60" w:rsidRDefault="003741ED" w:rsidP="00E36D06"/>
    <w:p w14:paraId="041E317F" w14:textId="77777777" w:rsidR="003741ED" w:rsidRPr="00320B23" w:rsidRDefault="003741ED" w:rsidP="00E36D06">
      <w:pPr>
        <w:pStyle w:val="Heading2"/>
      </w:pPr>
      <w:bookmarkStart w:id="97" w:name="_Toc362013188"/>
      <w:bookmarkStart w:id="98" w:name="_Toc364704294"/>
      <w:bookmarkStart w:id="99" w:name="_Toc485635040"/>
      <w:bookmarkStart w:id="100" w:name="_Toc2333432"/>
      <w:bookmarkStart w:id="101" w:name="_Toc8979317"/>
      <w:r w:rsidRPr="00320B23">
        <w:t>S</w:t>
      </w:r>
      <w:r>
        <w:t>trategy development</w:t>
      </w:r>
      <w:r w:rsidR="00E36D06">
        <w:br/>
      </w:r>
      <w:r w:rsidRPr="00320B23">
        <w:t>2000</w:t>
      </w:r>
      <w:r>
        <w:t>–</w:t>
      </w:r>
      <w:r w:rsidRPr="00320B23">
        <w:t>2005</w:t>
      </w:r>
      <w:bookmarkEnd w:id="97"/>
      <w:bookmarkEnd w:id="98"/>
      <w:bookmarkEnd w:id="99"/>
      <w:bookmarkEnd w:id="100"/>
      <w:bookmarkEnd w:id="101"/>
    </w:p>
    <w:p w14:paraId="041E3180" w14:textId="77777777" w:rsidR="003741ED" w:rsidRPr="00320B23" w:rsidRDefault="003741ED" w:rsidP="00E36D06">
      <w:pPr>
        <w:pStyle w:val="Heading3"/>
      </w:pPr>
      <w:bookmarkStart w:id="102" w:name="_Toc362013189"/>
      <w:bookmarkStart w:id="103" w:name="_Toc364704295"/>
      <w:bookmarkStart w:id="104" w:name="_Toc2333433"/>
      <w:bookmarkStart w:id="105" w:name="_Toc8979318"/>
      <w:r>
        <w:t>Consultation</w:t>
      </w:r>
      <w:bookmarkEnd w:id="102"/>
      <w:bookmarkEnd w:id="103"/>
      <w:bookmarkEnd w:id="104"/>
      <w:bookmarkEnd w:id="105"/>
    </w:p>
    <w:p w14:paraId="041E3181" w14:textId="77777777" w:rsidR="003741ED" w:rsidRPr="00F44C8C" w:rsidRDefault="003741ED" w:rsidP="00E36D06">
      <w:r w:rsidRPr="00F44C8C">
        <w:t>In 2000 consultation was held in conjunction with NZWWA on the procedures that had been developed by ESR for the Ministry on Public Health Risk Management Plans (PHRMP</w:t>
      </w:r>
      <w:r>
        <w:t>s – now known as Water Safety Plans</w:t>
      </w:r>
      <w:r w:rsidRPr="00F44C8C">
        <w:t>) for drinking-water supplies and on the need to update the Public Health Grading protocols.</w:t>
      </w:r>
      <w:r>
        <w:t xml:space="preserve"> </w:t>
      </w:r>
      <w:r w:rsidRPr="00F44C8C">
        <w:t xml:space="preserve">The philosophy behind the </w:t>
      </w:r>
      <w:r>
        <w:t>WSP</w:t>
      </w:r>
      <w:r w:rsidRPr="00F44C8C">
        <w:t xml:space="preserve"> was generally accepted.</w:t>
      </w:r>
      <w:r>
        <w:t xml:space="preserve"> </w:t>
      </w:r>
      <w:r w:rsidRPr="00F44C8C">
        <w:t xml:space="preserve">Proposals were made to include the </w:t>
      </w:r>
      <w:r>
        <w:t>WSP</w:t>
      </w:r>
      <w:r w:rsidRPr="00F44C8C">
        <w:t xml:space="preserve"> as part of the grading process, but it was decided to hold this over until there was more experience with the use of </w:t>
      </w:r>
      <w:r>
        <w:t>WSP</w:t>
      </w:r>
      <w:r w:rsidRPr="00F44C8C">
        <w:t>s.</w:t>
      </w:r>
    </w:p>
    <w:p w14:paraId="041E3182" w14:textId="77777777" w:rsidR="003741ED" w:rsidRPr="00F44C8C" w:rsidRDefault="003741ED" w:rsidP="00E36D06"/>
    <w:p w14:paraId="041E3183" w14:textId="77777777" w:rsidR="003741ED" w:rsidRPr="00320B23" w:rsidRDefault="003741ED" w:rsidP="00E36D06">
      <w:pPr>
        <w:pStyle w:val="Heading3"/>
      </w:pPr>
      <w:bookmarkStart w:id="106" w:name="_Toc362013190"/>
      <w:bookmarkStart w:id="107" w:name="_Toc364704296"/>
      <w:bookmarkStart w:id="108" w:name="_Toc2333434"/>
      <w:bookmarkStart w:id="109" w:name="_Toc8979319"/>
      <w:r>
        <w:t>Water safety plans</w:t>
      </w:r>
      <w:bookmarkEnd w:id="106"/>
      <w:bookmarkEnd w:id="107"/>
      <w:bookmarkEnd w:id="108"/>
      <w:bookmarkEnd w:id="109"/>
    </w:p>
    <w:p w14:paraId="041E3184" w14:textId="77777777" w:rsidR="003741ED" w:rsidRDefault="003741ED" w:rsidP="00E36D06">
      <w:r w:rsidRPr="00F44C8C">
        <w:t xml:space="preserve">The limitations of the historical approach to drinking-water quality management by the </w:t>
      </w:r>
      <w:r>
        <w:t>q</w:t>
      </w:r>
      <w:r w:rsidRPr="00F44C8C">
        <w:t xml:space="preserve">uality </w:t>
      </w:r>
      <w:r>
        <w:t>c</w:t>
      </w:r>
      <w:r w:rsidRPr="00F44C8C">
        <w:t>ontrol (QC) procedure of assessing compliance with a product quality standard (the DWS</w:t>
      </w:r>
      <w:r>
        <w:t>NZ) had become evident by 2000.</w:t>
      </w:r>
    </w:p>
    <w:p w14:paraId="041E3185" w14:textId="77777777" w:rsidR="003741ED" w:rsidRPr="00F44C8C" w:rsidRDefault="003741ED" w:rsidP="00E36D06"/>
    <w:p w14:paraId="041E3186" w14:textId="77777777" w:rsidR="003741ED" w:rsidRPr="00F44C8C" w:rsidRDefault="003741ED" w:rsidP="00E36D06">
      <w:r w:rsidRPr="00F44C8C">
        <w:t>Although the QC approach established whether the drinking-water quality targets had been met, this occurred only after the event.</w:t>
      </w:r>
      <w:r>
        <w:t xml:space="preserve"> </w:t>
      </w:r>
      <w:r w:rsidRPr="00F44C8C">
        <w:t xml:space="preserve">Also, because bacterial tests </w:t>
      </w:r>
      <w:r>
        <w:t xml:space="preserve">then </w:t>
      </w:r>
      <w:r w:rsidRPr="00F44C8C">
        <w:t xml:space="preserve">took two days to complete, </w:t>
      </w:r>
      <w:r>
        <w:t xml:space="preserve">identification </w:t>
      </w:r>
      <w:r w:rsidRPr="00F44C8C">
        <w:t>of a contamination event did not occur until two days after the event.</w:t>
      </w:r>
      <w:r>
        <w:t xml:space="preserve"> </w:t>
      </w:r>
      <w:r w:rsidRPr="00F44C8C">
        <w:t xml:space="preserve">The use of a </w:t>
      </w:r>
      <w:r>
        <w:t>water safety plan</w:t>
      </w:r>
      <w:r w:rsidRPr="00CE6F02">
        <w:t xml:space="preserve"> </w:t>
      </w:r>
      <w:r>
        <w:t>(WSP)</w:t>
      </w:r>
      <w:r w:rsidRPr="00F44C8C">
        <w:t xml:space="preserve"> for a water supply was seen as a way of introducing quality assurance (QA) procedures into drinking-water quality management.</w:t>
      </w:r>
      <w:r>
        <w:t xml:space="preserve"> The publication of the NZ G</w:t>
      </w:r>
      <w:r w:rsidRPr="00F44C8C">
        <w:t xml:space="preserve">uidelines on the </w:t>
      </w:r>
      <w:r>
        <w:t>P</w:t>
      </w:r>
      <w:r w:rsidRPr="00F44C8C">
        <w:t>reparation of PHRMPs (Ministry of Health 2001)</w:t>
      </w:r>
      <w:r w:rsidR="00E36D06">
        <w:rPr>
          <w:rStyle w:val="FootnoteReference"/>
        </w:rPr>
        <w:footnoteReference w:id="7"/>
      </w:r>
      <w:r w:rsidRPr="00F44C8C">
        <w:t xml:space="preserve"> was followed by the publication of Chapter 4 on Water Safety Plans in the WHO </w:t>
      </w:r>
      <w:r w:rsidRPr="00CE6F02">
        <w:rPr>
          <w:i/>
        </w:rPr>
        <w:t>Guidelines on Drinking-water Quality</w:t>
      </w:r>
      <w:r>
        <w:t xml:space="preserve"> (3rd e</w:t>
      </w:r>
      <w:r w:rsidRPr="00F44C8C">
        <w:t>dition</w:t>
      </w:r>
      <w:r>
        <w:t>, 2004</w:t>
      </w:r>
      <w:r w:rsidRPr="00F44C8C">
        <w:t>).</w:t>
      </w:r>
      <w:r>
        <w:t xml:space="preserve"> </w:t>
      </w:r>
      <w:r w:rsidRPr="00F44C8C">
        <w:t>Following the WHO publication the use of PHRMPs for drinking-water supplies (called water safety plans by WHO) has become an internationally accepted procedure.</w:t>
      </w:r>
      <w:r>
        <w:t xml:space="preserve"> </w:t>
      </w:r>
      <w:r w:rsidRPr="00F44C8C">
        <w:t>WHO has used N</w:t>
      </w:r>
      <w:r>
        <w:t xml:space="preserve">ew </w:t>
      </w:r>
      <w:r w:rsidRPr="00F44C8C">
        <w:t>Z</w:t>
      </w:r>
      <w:r>
        <w:t>ealand</w:t>
      </w:r>
      <w:r w:rsidRPr="00F44C8C">
        <w:t xml:space="preserve"> DWAs to provide training in water safety plans to the Pacific Island countries.</w:t>
      </w:r>
    </w:p>
    <w:p w14:paraId="041E3187" w14:textId="77777777" w:rsidR="003741ED" w:rsidRPr="00F44C8C" w:rsidRDefault="003741ED" w:rsidP="00E36D06"/>
    <w:p w14:paraId="041E3188" w14:textId="77777777" w:rsidR="003741ED" w:rsidRPr="00F44C8C" w:rsidRDefault="003741ED" w:rsidP="00E36D06">
      <w:r w:rsidRPr="00F44C8C">
        <w:t xml:space="preserve">The stages in the development of a </w:t>
      </w:r>
      <w:r>
        <w:t>WSP</w:t>
      </w:r>
      <w:r w:rsidRPr="00F44C8C">
        <w:t xml:space="preserve"> are:</w:t>
      </w:r>
    </w:p>
    <w:p w14:paraId="041E3189" w14:textId="77777777" w:rsidR="003741ED" w:rsidRPr="00436E80" w:rsidRDefault="003741ED" w:rsidP="00E36D06">
      <w:pPr>
        <w:pStyle w:val="Bullet"/>
      </w:pPr>
      <w:r w:rsidRPr="00436E80">
        <w:t>identification of what is intended to be achieved (the target, eg, compliance with the DWSNZ)</w:t>
      </w:r>
    </w:p>
    <w:p w14:paraId="041E318A" w14:textId="77777777" w:rsidR="003741ED" w:rsidRPr="00436E80" w:rsidRDefault="003741ED" w:rsidP="00E36D06">
      <w:pPr>
        <w:pStyle w:val="Bullet"/>
      </w:pPr>
      <w:r w:rsidRPr="00436E80">
        <w:t>identification of the factors that could impede the achievement of the target (the risks). This includes identification of the financial and technical resources required to achieve the target, both the set-up and ongoing operational requirements</w:t>
      </w:r>
    </w:p>
    <w:p w14:paraId="041E318B" w14:textId="77777777" w:rsidR="003741ED" w:rsidRPr="00436E80" w:rsidRDefault="003741ED" w:rsidP="00E36D06">
      <w:pPr>
        <w:pStyle w:val="Bullet"/>
      </w:pPr>
      <w:r w:rsidRPr="00436E80">
        <w:t>identification of the ways in which the risks could be overcome (managed). This includes identification of the necessary financial and technical resources</w:t>
      </w:r>
    </w:p>
    <w:p w14:paraId="041E318C" w14:textId="77777777" w:rsidR="003741ED" w:rsidRPr="00436E80" w:rsidRDefault="003741ED" w:rsidP="00E36D06">
      <w:pPr>
        <w:pStyle w:val="Bullet"/>
      </w:pPr>
      <w:r w:rsidRPr="00436E80">
        <w:t>identification of the relative magnitude of the risks and ranking of the priorities for dealing with the risks, taking into account their importance and the relative ease of management</w:t>
      </w:r>
    </w:p>
    <w:p w14:paraId="041E318D" w14:textId="77777777" w:rsidR="003741ED" w:rsidRPr="00436E80" w:rsidRDefault="003741ED" w:rsidP="00E36D06">
      <w:pPr>
        <w:pStyle w:val="Bullet"/>
      </w:pPr>
      <w:r w:rsidRPr="00436E80">
        <w:t>development of contingency plans for managing unusual but critical perturbations of normal operation (eg, floods, droughts, power cuts, accidents to key personnel)</w:t>
      </w:r>
    </w:p>
    <w:p w14:paraId="041E318E" w14:textId="77777777" w:rsidR="003741ED" w:rsidRPr="00436E80" w:rsidRDefault="003741ED" w:rsidP="00E36D06">
      <w:pPr>
        <w:pStyle w:val="Bullet"/>
      </w:pPr>
      <w:r w:rsidRPr="00436E80">
        <w:t>completion of a schedule for managing the risks (a three- to five-year timetable)</w:t>
      </w:r>
    </w:p>
    <w:p w14:paraId="041E318F" w14:textId="77777777" w:rsidR="003741ED" w:rsidRPr="00436E80" w:rsidRDefault="003741ED" w:rsidP="00E36D06">
      <w:pPr>
        <w:pStyle w:val="Bullet"/>
      </w:pPr>
      <w:r w:rsidRPr="00436E80">
        <w:t xml:space="preserve">implement the </w:t>
      </w:r>
      <w:r>
        <w:t>WSP</w:t>
      </w:r>
    </w:p>
    <w:p w14:paraId="041E3190" w14:textId="77777777" w:rsidR="003741ED" w:rsidRPr="00F44C8C" w:rsidRDefault="003741ED" w:rsidP="00E36D06">
      <w:pPr>
        <w:pStyle w:val="Bullet"/>
      </w:pPr>
      <w:r w:rsidRPr="00436E80">
        <w:t>monitor, and</w:t>
      </w:r>
      <w:r w:rsidRPr="00F44C8C">
        <w:t xml:space="preserve"> review the </w:t>
      </w:r>
      <w:r>
        <w:t>WSP</w:t>
      </w:r>
      <w:r w:rsidRPr="00F44C8C">
        <w:t xml:space="preserve"> implementation performance</w:t>
      </w:r>
      <w:r>
        <w:t>,</w:t>
      </w:r>
      <w:r w:rsidRPr="00F44C8C">
        <w:t xml:space="preserve"> revise if necessary.</w:t>
      </w:r>
    </w:p>
    <w:p w14:paraId="041E3191" w14:textId="77777777" w:rsidR="003741ED" w:rsidRPr="00F44C8C" w:rsidRDefault="003741ED" w:rsidP="00E36D06"/>
    <w:p w14:paraId="041E3192" w14:textId="77777777" w:rsidR="003741ED" w:rsidRPr="00F44C8C" w:rsidRDefault="003741ED" w:rsidP="00E36D06">
      <w:r w:rsidRPr="00F44C8C">
        <w:t xml:space="preserve">The </w:t>
      </w:r>
      <w:r>
        <w:t>water safety</w:t>
      </w:r>
      <w:r w:rsidRPr="00F44C8C">
        <w:t xml:space="preserve"> process can form the basis of a complete drinking-water quality management programme.</w:t>
      </w:r>
    </w:p>
    <w:p w14:paraId="041E3193" w14:textId="77777777" w:rsidR="003741ED" w:rsidRPr="00F44C8C" w:rsidRDefault="003741ED" w:rsidP="00E36D06"/>
    <w:p w14:paraId="041E3194" w14:textId="77777777" w:rsidR="003741ED" w:rsidRPr="00F44C8C" w:rsidRDefault="003741ED" w:rsidP="00E36D06">
      <w:r w:rsidRPr="00F44C8C">
        <w:t xml:space="preserve">The steps along the pathway of using the </w:t>
      </w:r>
      <w:r>
        <w:t>WSP</w:t>
      </w:r>
      <w:r w:rsidRPr="00F44C8C">
        <w:t xml:space="preserve"> as the basis of a programme for achieving the target of a supply that delivers an adequate volume of water that is safe to drink are:</w:t>
      </w:r>
    </w:p>
    <w:p w14:paraId="041E3195" w14:textId="77777777" w:rsidR="003741ED" w:rsidRPr="00F44C8C" w:rsidRDefault="003741ED" w:rsidP="00E36D06">
      <w:pPr>
        <w:spacing w:before="90"/>
        <w:ind w:left="567" w:hanging="567"/>
      </w:pPr>
      <w:r>
        <w:t>1</w:t>
      </w:r>
      <w:r>
        <w:tab/>
        <w:t>c</w:t>
      </w:r>
      <w:r w:rsidRPr="00F44C8C">
        <w:t xml:space="preserve">ompletion of a </w:t>
      </w:r>
      <w:r>
        <w:t>WSP</w:t>
      </w:r>
      <w:r w:rsidRPr="00F44C8C">
        <w:t xml:space="preserve"> for the supply</w:t>
      </w:r>
    </w:p>
    <w:p w14:paraId="041E3196" w14:textId="77777777" w:rsidR="003741ED" w:rsidRPr="00F44C8C" w:rsidRDefault="003741ED" w:rsidP="00E36D06">
      <w:pPr>
        <w:spacing w:before="90"/>
        <w:ind w:left="567" w:hanging="567"/>
      </w:pPr>
      <w:r>
        <w:t>2</w:t>
      </w:r>
      <w:r>
        <w:tab/>
        <w:t>o</w:t>
      </w:r>
      <w:r w:rsidRPr="00F44C8C">
        <w:t>ptimisation of the operation and management of the existing supply process</w:t>
      </w:r>
    </w:p>
    <w:p w14:paraId="041E3197" w14:textId="77777777" w:rsidR="003741ED" w:rsidRPr="00F44C8C" w:rsidRDefault="003741ED" w:rsidP="00E36D06">
      <w:pPr>
        <w:spacing w:before="90"/>
        <w:ind w:left="567" w:hanging="567"/>
      </w:pPr>
      <w:r>
        <w:t>3</w:t>
      </w:r>
      <w:r>
        <w:tab/>
        <w:t>e</w:t>
      </w:r>
      <w:r w:rsidRPr="00F44C8C">
        <w:t>stablishment of a programme for monitoring the performance of the water supply system to verify progress</w:t>
      </w:r>
    </w:p>
    <w:p w14:paraId="041E3198" w14:textId="77777777" w:rsidR="003741ED" w:rsidRPr="00F44C8C" w:rsidRDefault="003741ED" w:rsidP="00E36D06">
      <w:pPr>
        <w:spacing w:before="90"/>
        <w:ind w:left="567" w:hanging="567"/>
      </w:pPr>
      <w:r>
        <w:t>4</w:t>
      </w:r>
      <w:r>
        <w:tab/>
        <w:t>preparation of an i</w:t>
      </w:r>
      <w:r w:rsidRPr="00F44C8C">
        <w:t xml:space="preserve">mprovement </w:t>
      </w:r>
      <w:r>
        <w:t>s</w:t>
      </w:r>
      <w:r w:rsidRPr="00F44C8C">
        <w:t xml:space="preserve">chedule for the supply, based on the information in the </w:t>
      </w:r>
      <w:r>
        <w:t>WSP</w:t>
      </w:r>
    </w:p>
    <w:p w14:paraId="041E3199" w14:textId="77777777" w:rsidR="003741ED" w:rsidRPr="00F44C8C" w:rsidRDefault="003741ED" w:rsidP="00E36D06">
      <w:pPr>
        <w:spacing w:before="90"/>
        <w:ind w:left="567" w:hanging="567"/>
      </w:pPr>
      <w:r>
        <w:t>5</w:t>
      </w:r>
      <w:r>
        <w:tab/>
        <w:t>p</w:t>
      </w:r>
      <w:r w:rsidRPr="00F44C8C">
        <w:t>reparation of a design report for upgrading the supply, if th</w:t>
      </w:r>
      <w:r>
        <w:t xml:space="preserve">e target cannot be achieved </w:t>
      </w:r>
      <w:r w:rsidRPr="00F44C8C">
        <w:t>(an engineer</w:t>
      </w:r>
      <w:r>
        <w:t>’</w:t>
      </w:r>
      <w:r w:rsidRPr="00F44C8C">
        <w:t>s report)</w:t>
      </w:r>
      <w:r>
        <w:t>.</w:t>
      </w:r>
    </w:p>
    <w:p w14:paraId="041E319A" w14:textId="77777777" w:rsidR="003741ED" w:rsidRDefault="003741ED" w:rsidP="00E36D06"/>
    <w:p w14:paraId="041E319B" w14:textId="77777777" w:rsidR="003741ED" w:rsidRPr="0043728A" w:rsidRDefault="003741ED" w:rsidP="00E36D06">
      <w:pPr>
        <w:pStyle w:val="Heading3"/>
      </w:pPr>
      <w:bookmarkStart w:id="110" w:name="_Toc362013191"/>
      <w:bookmarkStart w:id="111" w:name="_Toc364704297"/>
      <w:bookmarkStart w:id="112" w:name="_Toc2333435"/>
      <w:bookmarkStart w:id="113" w:name="_Toc8979320"/>
      <w:r w:rsidRPr="00320B23">
        <w:t>L</w:t>
      </w:r>
      <w:r>
        <w:t>egislative development</w:t>
      </w:r>
      <w:bookmarkEnd w:id="110"/>
      <w:bookmarkEnd w:id="111"/>
      <w:bookmarkEnd w:id="112"/>
      <w:bookmarkEnd w:id="113"/>
    </w:p>
    <w:p w14:paraId="041E319C" w14:textId="77777777" w:rsidR="003741ED" w:rsidRDefault="003741ED" w:rsidP="00E36D06">
      <w:r w:rsidRPr="00F44C8C">
        <w:t xml:space="preserve">Building on the recommendations from the 1995 and 1998 public discussions on proposals for strengthening the drinking-water quality management sections of the Health Act 1956, Cabinet instructed the Ministry of Health </w:t>
      </w:r>
      <w:r>
        <w:t xml:space="preserve">in November 2000 </w:t>
      </w:r>
      <w:r w:rsidRPr="00F44C8C">
        <w:t>to prepare a Health Act Amendment Bill which would provide a statutory framework for the non-regulatory interventions that were currently operating.</w:t>
      </w:r>
      <w:r>
        <w:t xml:space="preserve"> </w:t>
      </w:r>
      <w:r w:rsidRPr="00F44C8C">
        <w:t>The amendment was to strengthen and improve the existing legislation by:</w:t>
      </w:r>
    </w:p>
    <w:p w14:paraId="041E319D" w14:textId="77777777" w:rsidR="003741ED" w:rsidRDefault="003741ED" w:rsidP="00A51AA8">
      <w:pPr>
        <w:keepNext/>
        <w:spacing w:before="90"/>
        <w:ind w:left="567" w:hanging="567"/>
      </w:pPr>
      <w:r>
        <w:t>1</w:t>
      </w:r>
      <w:r>
        <w:tab/>
      </w:r>
      <w:r w:rsidRPr="000932FF">
        <w:t>providing assurance that a sector, with assets measured in the billions of dollars and which is fundamental to economic development (including the tourism sector), would be adequately managed</w:t>
      </w:r>
    </w:p>
    <w:p w14:paraId="041E319E" w14:textId="77777777" w:rsidR="003741ED" w:rsidRPr="000932FF" w:rsidRDefault="003741ED" w:rsidP="00E36D06">
      <w:pPr>
        <w:spacing w:before="90"/>
        <w:ind w:left="567" w:hanging="567"/>
      </w:pPr>
      <w:r>
        <w:rPr>
          <w:color w:val="000000"/>
        </w:rPr>
        <w:t>2</w:t>
      </w:r>
      <w:r>
        <w:rPr>
          <w:color w:val="000000"/>
        </w:rPr>
        <w:tab/>
      </w:r>
      <w:r w:rsidRPr="004740B0">
        <w:rPr>
          <w:color w:val="000000"/>
        </w:rPr>
        <w:t xml:space="preserve">assisting local government to discharge their statutory </w:t>
      </w:r>
      <w:r w:rsidRPr="004740B0">
        <w:rPr>
          <w:iCs/>
          <w:color w:val="000000"/>
        </w:rPr>
        <w:t>duty</w:t>
      </w:r>
      <w:r w:rsidRPr="00436E80">
        <w:rPr>
          <w:iCs/>
          <w:color w:val="000000"/>
        </w:rPr>
        <w:t xml:space="preserve"> </w:t>
      </w:r>
      <w:r>
        <w:rPr>
          <w:color w:val="000000"/>
        </w:rPr>
        <w:t>“</w:t>
      </w:r>
      <w:r w:rsidRPr="004740B0">
        <w:rPr>
          <w:color w:val="000000"/>
        </w:rPr>
        <w:t>to improve, promote and protect public health</w:t>
      </w:r>
      <w:r>
        <w:rPr>
          <w:color w:val="000000"/>
        </w:rPr>
        <w:t>”</w:t>
      </w:r>
    </w:p>
    <w:p w14:paraId="041E319F" w14:textId="77777777" w:rsidR="003741ED" w:rsidRPr="00F44C8C" w:rsidRDefault="003741ED" w:rsidP="00E36D06">
      <w:pPr>
        <w:spacing w:before="90"/>
        <w:ind w:left="567" w:hanging="567"/>
      </w:pPr>
      <w:r>
        <w:t>3</w:t>
      </w:r>
      <w:r>
        <w:tab/>
      </w:r>
      <w:r w:rsidRPr="00F44C8C">
        <w:t>placing duties on drinking-water suppliers to take all practicable steps</w:t>
      </w:r>
      <w:r w:rsidRPr="002A077E">
        <w:rPr>
          <w:rStyle w:val="FootnoteReference"/>
        </w:rPr>
        <w:footnoteReference w:id="8"/>
      </w:r>
      <w:r w:rsidRPr="00F44C8C">
        <w:t xml:space="preserve"> to comply with </w:t>
      </w:r>
      <w:r>
        <w:t xml:space="preserve">the </w:t>
      </w:r>
      <w:r w:rsidRPr="00F44C8C">
        <w:t>drinking-water standards (and various other duties and powers ancillary to that)</w:t>
      </w:r>
    </w:p>
    <w:p w14:paraId="041E31A0" w14:textId="77777777" w:rsidR="003741ED" w:rsidRPr="00F44C8C" w:rsidRDefault="003741ED" w:rsidP="00E36D06">
      <w:pPr>
        <w:spacing w:before="90"/>
        <w:ind w:left="567" w:hanging="567"/>
      </w:pPr>
      <w:r>
        <w:t>4</w:t>
      </w:r>
      <w:r>
        <w:tab/>
      </w:r>
      <w:r w:rsidRPr="00F44C8C">
        <w:t>providing a statutory framework for the promulgation of drinking-water standards</w:t>
      </w:r>
    </w:p>
    <w:p w14:paraId="041E31A1" w14:textId="77777777" w:rsidR="003741ED" w:rsidRPr="00F44C8C" w:rsidRDefault="003741ED" w:rsidP="00E36D06">
      <w:pPr>
        <w:spacing w:before="90"/>
        <w:ind w:left="567" w:hanging="567"/>
      </w:pPr>
      <w:r>
        <w:t>5</w:t>
      </w:r>
      <w:r>
        <w:tab/>
      </w:r>
      <w:r w:rsidRPr="00F44C8C">
        <w:t>putting duties on the general public not to contaminate drinking-water supplies</w:t>
      </w:r>
    </w:p>
    <w:p w14:paraId="041E31A2" w14:textId="77777777" w:rsidR="003741ED" w:rsidRPr="00F44C8C" w:rsidRDefault="003741ED" w:rsidP="00E36D06">
      <w:pPr>
        <w:spacing w:before="90"/>
        <w:ind w:left="567" w:hanging="567"/>
      </w:pPr>
      <w:r>
        <w:t>6</w:t>
      </w:r>
      <w:r>
        <w:tab/>
      </w:r>
      <w:r w:rsidRPr="00F44C8C">
        <w:t xml:space="preserve">requiring drinking-water suppliers to introduce and implement </w:t>
      </w:r>
      <w:r>
        <w:t>water safety</w:t>
      </w:r>
      <w:r w:rsidRPr="00F44C8C">
        <w:t xml:space="preserve"> plans</w:t>
      </w:r>
    </w:p>
    <w:p w14:paraId="041E31A3" w14:textId="77777777" w:rsidR="003741ED" w:rsidRPr="00F44C8C" w:rsidRDefault="003741ED" w:rsidP="00E36D06">
      <w:pPr>
        <w:spacing w:before="90"/>
        <w:ind w:left="567" w:hanging="567"/>
      </w:pPr>
      <w:r>
        <w:t>7</w:t>
      </w:r>
      <w:r>
        <w:tab/>
      </w:r>
      <w:r w:rsidRPr="00F44C8C">
        <w:t>providing for officers designated by the Ministry to act as assessors to verify:</w:t>
      </w:r>
    </w:p>
    <w:p w14:paraId="041E31A4" w14:textId="77777777" w:rsidR="003741ED" w:rsidRPr="00F44C8C" w:rsidRDefault="003741ED" w:rsidP="00E36D06">
      <w:pPr>
        <w:pStyle w:val="Bullet"/>
        <w:spacing w:before="60"/>
        <w:ind w:left="851"/>
      </w:pPr>
      <w:r w:rsidRPr="00F44C8C">
        <w:t>compliance with the DWSNZ</w:t>
      </w:r>
    </w:p>
    <w:p w14:paraId="041E31A5" w14:textId="77777777" w:rsidR="003741ED" w:rsidRPr="00F44C8C" w:rsidRDefault="003741ED" w:rsidP="00E36D06">
      <w:pPr>
        <w:pStyle w:val="Bullet"/>
        <w:spacing w:before="60"/>
        <w:ind w:left="851"/>
      </w:pPr>
      <w:r w:rsidRPr="00F44C8C">
        <w:t xml:space="preserve">the standard and implementation of </w:t>
      </w:r>
      <w:r>
        <w:t>water safety</w:t>
      </w:r>
      <w:r w:rsidRPr="00F44C8C">
        <w:t xml:space="preserve"> plans</w:t>
      </w:r>
    </w:p>
    <w:p w14:paraId="041E31A6" w14:textId="77777777" w:rsidR="003741ED" w:rsidRPr="00F44C8C" w:rsidRDefault="003741ED" w:rsidP="00E36D06">
      <w:pPr>
        <w:pStyle w:val="Bullet"/>
        <w:spacing w:before="60"/>
        <w:ind w:left="851"/>
      </w:pPr>
      <w:r w:rsidRPr="00F44C8C">
        <w:t>the competence of water supply staff carrying out process and field analyses</w:t>
      </w:r>
    </w:p>
    <w:p w14:paraId="041E31A7" w14:textId="77777777" w:rsidR="003741ED" w:rsidRPr="00F44C8C" w:rsidRDefault="003741ED" w:rsidP="00E36D06">
      <w:pPr>
        <w:spacing w:before="90"/>
        <w:ind w:left="567" w:hanging="567"/>
      </w:pPr>
      <w:r>
        <w:t>8</w:t>
      </w:r>
      <w:r>
        <w:tab/>
      </w:r>
      <w:r w:rsidRPr="00F44C8C">
        <w:t>requiring designated assessors to have their competence accredited by an internationally recognised conformance accreditation agency</w:t>
      </w:r>
    </w:p>
    <w:p w14:paraId="041E31A8" w14:textId="77777777" w:rsidR="003741ED" w:rsidRDefault="003741ED" w:rsidP="00E36D06">
      <w:pPr>
        <w:spacing w:before="90"/>
        <w:ind w:left="567" w:hanging="567"/>
      </w:pPr>
      <w:r>
        <w:t>9</w:t>
      </w:r>
      <w:r>
        <w:tab/>
      </w:r>
      <w:r w:rsidRPr="00F44C8C">
        <w:t>providing for appropriate record-keeping and publication of information about the compliance of the supply with the Act.</w:t>
      </w:r>
    </w:p>
    <w:p w14:paraId="041E31A9" w14:textId="77777777" w:rsidR="003741ED" w:rsidRPr="00F44C8C" w:rsidRDefault="003741ED" w:rsidP="00E36D06"/>
    <w:p w14:paraId="041E31AA" w14:textId="77777777" w:rsidR="003741ED" w:rsidRPr="00320B23" w:rsidRDefault="003741ED" w:rsidP="00E36D06">
      <w:pPr>
        <w:pStyle w:val="Heading3"/>
      </w:pPr>
      <w:bookmarkStart w:id="114" w:name="_Toc362013192"/>
      <w:bookmarkStart w:id="115" w:name="_Toc364704298"/>
      <w:bookmarkStart w:id="116" w:name="_Toc2333436"/>
      <w:bookmarkStart w:id="117" w:name="_Toc8979321"/>
      <w:r>
        <w:t xml:space="preserve">Development of the </w:t>
      </w:r>
      <w:r w:rsidRPr="00320B23">
        <w:t>DWSNZ 2005</w:t>
      </w:r>
      <w:bookmarkEnd w:id="114"/>
      <w:bookmarkEnd w:id="115"/>
      <w:bookmarkEnd w:id="116"/>
      <w:bookmarkEnd w:id="117"/>
    </w:p>
    <w:p w14:paraId="041E31AB" w14:textId="77777777" w:rsidR="003741ED" w:rsidRPr="004E2F49" w:rsidRDefault="003741ED" w:rsidP="00E36D06">
      <w:r>
        <w:t xml:space="preserve">Subsections 1.4.4.1 to 1.4.4.5 discuss the main changes from the 2000 DWSNZ. </w:t>
      </w:r>
      <w:r w:rsidRPr="004E2F49">
        <w:t xml:space="preserve">The DWSNZ 2005 </w:t>
      </w:r>
      <w:r>
        <w:t xml:space="preserve">maintained the </w:t>
      </w:r>
      <w:r w:rsidRPr="004E2F49">
        <w:t>two principal components:</w:t>
      </w:r>
    </w:p>
    <w:p w14:paraId="041E31AC" w14:textId="77777777" w:rsidR="003741ED" w:rsidRPr="004E2F49" w:rsidRDefault="003741ED" w:rsidP="00E36D06">
      <w:pPr>
        <w:pStyle w:val="Bullet"/>
      </w:pPr>
      <w:r w:rsidRPr="004E2F49">
        <w:t>the water quality specifi</w:t>
      </w:r>
      <w:r>
        <w:t>cation (standard), which defined</w:t>
      </w:r>
      <w:r w:rsidRPr="004E2F49">
        <w:t xml:space="preserve"> the Maximum Acceptable Values (MAVs) at which the risk of disease from drinking the water is negligible.</w:t>
      </w:r>
      <w:r>
        <w:t xml:space="preserve"> </w:t>
      </w:r>
      <w:r w:rsidRPr="004E2F49">
        <w:t xml:space="preserve">A new concept, operating requirements, </w:t>
      </w:r>
      <w:r>
        <w:t>was</w:t>
      </w:r>
      <w:r w:rsidRPr="004E2F49">
        <w:t xml:space="preserve"> introduced where monitoring of a MAV </w:t>
      </w:r>
      <w:r>
        <w:t>wa</w:t>
      </w:r>
      <w:r w:rsidRPr="004E2F49">
        <w:t>s impracticable</w:t>
      </w:r>
    </w:p>
    <w:p w14:paraId="041E31AD" w14:textId="77777777" w:rsidR="003741ED" w:rsidRPr="004E2F49" w:rsidRDefault="003741ED" w:rsidP="00E36D06">
      <w:pPr>
        <w:pStyle w:val="Bullet"/>
      </w:pPr>
      <w:r w:rsidRPr="004E2F49">
        <w:t>the compliance specifications, which define the checks (and their frequencies) that are to be taken to demonstrate compliance with the DWSNZ.</w:t>
      </w:r>
    </w:p>
    <w:p w14:paraId="041E31AE" w14:textId="77777777" w:rsidR="003741ED" w:rsidRPr="004E2F49" w:rsidRDefault="003741ED" w:rsidP="00E36D06">
      <w:pPr>
        <w:rPr>
          <w:highlight w:val="cyan"/>
        </w:rPr>
      </w:pPr>
    </w:p>
    <w:p w14:paraId="041E31AF" w14:textId="77777777" w:rsidR="003741ED" w:rsidRPr="004740B0" w:rsidRDefault="003741ED" w:rsidP="00516A27">
      <w:pPr>
        <w:pStyle w:val="Heading4"/>
      </w:pPr>
      <w:bookmarkStart w:id="118" w:name="_Toc362013193"/>
      <w:r w:rsidRPr="004740B0">
        <w:t xml:space="preserve">Introduction of the </w:t>
      </w:r>
      <w:r>
        <w:t>l</w:t>
      </w:r>
      <w:r w:rsidRPr="004740B0">
        <w:t xml:space="preserve">og </w:t>
      </w:r>
      <w:r>
        <w:t>c</w:t>
      </w:r>
      <w:r w:rsidRPr="004740B0">
        <w:t>redit approach</w:t>
      </w:r>
      <w:bookmarkEnd w:id="118"/>
    </w:p>
    <w:p w14:paraId="041E31B0" w14:textId="77777777" w:rsidR="003741ED" w:rsidRPr="00F44C8C" w:rsidRDefault="003741ED" w:rsidP="00516A27">
      <w:r w:rsidRPr="00F44C8C">
        <w:t xml:space="preserve">Because the methods available for identifying </w:t>
      </w:r>
      <w:r w:rsidRPr="00CE6F02">
        <w:rPr>
          <w:i/>
        </w:rPr>
        <w:t>Cryptosporidium</w:t>
      </w:r>
      <w:r w:rsidRPr="00F44C8C">
        <w:t xml:space="preserve"> were not suitable for routine monitoring, and there appeared to be no suitable indicator organisms, it became necessary to improve the surrogate methods used to manage the public health risk.</w:t>
      </w:r>
      <w:r>
        <w:t xml:space="preserve"> </w:t>
      </w:r>
      <w:r w:rsidRPr="00F44C8C">
        <w:t xml:space="preserve">This was done by improving the performance of treatment processes in removing or inactivating </w:t>
      </w:r>
      <w:r w:rsidRPr="00CE6F02">
        <w:rPr>
          <w:i/>
        </w:rPr>
        <w:t>Cryptosporidium</w:t>
      </w:r>
      <w:r w:rsidRPr="00F44C8C">
        <w:t xml:space="preserve"> oocysts.</w:t>
      </w:r>
      <w:r>
        <w:t xml:space="preserve"> </w:t>
      </w:r>
      <w:r w:rsidRPr="00F44C8C">
        <w:t>This stimulated the introduction of quality assurance methodology for drinking-water supply operational management, which culminated in the development of Public Health Risk Management Plans</w:t>
      </w:r>
      <w:r>
        <w:t xml:space="preserve"> (now known as Water Safety Plans).</w:t>
      </w:r>
    </w:p>
    <w:p w14:paraId="041E31B1" w14:textId="77777777" w:rsidR="003741ED" w:rsidRPr="00F44C8C" w:rsidRDefault="003741ED" w:rsidP="00516A27"/>
    <w:p w14:paraId="041E31B2" w14:textId="77777777" w:rsidR="003741ED" w:rsidRPr="00F44C8C" w:rsidRDefault="003741ED" w:rsidP="00516A27">
      <w:r w:rsidRPr="00F44C8C">
        <w:t>The risk of infection from drinking-water contaminated by waterborne protozoa is affected by the:</w:t>
      </w:r>
    </w:p>
    <w:p w14:paraId="041E31B3" w14:textId="77777777" w:rsidR="003741ED" w:rsidRPr="00F44C8C" w:rsidRDefault="003741ED" w:rsidP="00516A27">
      <w:pPr>
        <w:pStyle w:val="Bullet"/>
      </w:pPr>
      <w:r w:rsidRPr="00F44C8C">
        <w:t xml:space="preserve">concentration of </w:t>
      </w:r>
      <w:r w:rsidRPr="00CE6F02">
        <w:rPr>
          <w:i/>
        </w:rPr>
        <w:t>Cryptosporidium</w:t>
      </w:r>
      <w:r w:rsidRPr="00F44C8C">
        <w:t xml:space="preserve"> </w:t>
      </w:r>
      <w:r>
        <w:t xml:space="preserve">oocysts </w:t>
      </w:r>
      <w:r w:rsidRPr="00F44C8C">
        <w:t>or other protozoal cysts in the raw water</w:t>
      </w:r>
    </w:p>
    <w:p w14:paraId="041E31B4" w14:textId="77777777" w:rsidR="003741ED" w:rsidRPr="00F44C8C" w:rsidRDefault="003741ED" w:rsidP="00516A27">
      <w:pPr>
        <w:pStyle w:val="Bullet"/>
      </w:pPr>
      <w:r w:rsidRPr="00F44C8C">
        <w:t>extent to which (oo)cysts are inactivated or removed by the treatment processes.</w:t>
      </w:r>
    </w:p>
    <w:p w14:paraId="041E31B5" w14:textId="77777777" w:rsidR="003741ED" w:rsidRDefault="003741ED" w:rsidP="00516A27"/>
    <w:p w14:paraId="041E31B6" w14:textId="77777777" w:rsidR="003741ED" w:rsidRPr="00F44C8C" w:rsidRDefault="003741ED" w:rsidP="00516A27">
      <w:r w:rsidRPr="00F44C8C">
        <w:t>To take account of the additive effect of a series of treatment processes on the removal of protozo</w:t>
      </w:r>
      <w:r>
        <w:t>a, log credits</w:t>
      </w:r>
      <w:r w:rsidRPr="00F44C8C">
        <w:t xml:space="preserve"> are used, </w:t>
      </w:r>
      <w:r w:rsidRPr="00CE6F02">
        <w:rPr>
          <w:i/>
        </w:rPr>
        <w:t>Cryptosporidium</w:t>
      </w:r>
      <w:r w:rsidRPr="00F44C8C">
        <w:t xml:space="preserve"> being used as the reference organism.</w:t>
      </w:r>
      <w:r>
        <w:t xml:space="preserve"> T</w:t>
      </w:r>
      <w:r w:rsidRPr="00F44C8C">
        <w:t>he log credit for a treatment process is the logarithm of the percentage of the protozoa the process can remove</w:t>
      </w:r>
      <w:r>
        <w:t xml:space="preserve"> or inactivate</w:t>
      </w:r>
      <w:r w:rsidRPr="00F44C8C">
        <w:t>.</w:t>
      </w:r>
      <w:r>
        <w:t xml:space="preserve"> </w:t>
      </w:r>
      <w:r w:rsidRPr="00F44C8C">
        <w:t>The cumulative effect of successive treatment processes can be calculated by adding the log credits of all the qualifying processes in use.</w:t>
      </w:r>
      <w:r>
        <w:t xml:space="preserve"> </w:t>
      </w:r>
      <w:r w:rsidRPr="00F44C8C">
        <w:t>The cumulative effects cannot be added when the removal is expressed as a percentage.</w:t>
      </w:r>
    </w:p>
    <w:p w14:paraId="041E31B7" w14:textId="77777777" w:rsidR="003741ED" w:rsidRDefault="003741ED" w:rsidP="00516A27"/>
    <w:p w14:paraId="041E31B8" w14:textId="77777777" w:rsidR="003741ED" w:rsidRPr="004740B0" w:rsidRDefault="003741ED" w:rsidP="00516A27">
      <w:pPr>
        <w:pStyle w:val="Heading4"/>
      </w:pPr>
      <w:bookmarkStart w:id="119" w:name="_Toc362013194"/>
      <w:r w:rsidRPr="004740B0">
        <w:t>UV disinfection</w:t>
      </w:r>
      <w:bookmarkEnd w:id="119"/>
    </w:p>
    <w:p w14:paraId="041E31B9" w14:textId="77777777" w:rsidR="003741ED" w:rsidRDefault="003741ED" w:rsidP="00516A27">
      <w:r w:rsidRPr="00F44C8C">
        <w:t xml:space="preserve">Much work was done </w:t>
      </w:r>
      <w:r>
        <w:t xml:space="preserve">internationally </w:t>
      </w:r>
      <w:r w:rsidRPr="00F44C8C">
        <w:t xml:space="preserve">on improving the understanding of the use of UV irradiation for inactivating </w:t>
      </w:r>
      <w:r w:rsidRPr="00CE6F02">
        <w:rPr>
          <w:i/>
        </w:rPr>
        <w:t>Cryptosporidium</w:t>
      </w:r>
      <w:r w:rsidRPr="00F44C8C">
        <w:t>.</w:t>
      </w:r>
      <w:r>
        <w:t xml:space="preserve"> </w:t>
      </w:r>
      <w:r w:rsidRPr="00F44C8C">
        <w:t>Originally UV was thought to be ineffective, because the oocysts appeared visually to be unchanged by exposure to UV.</w:t>
      </w:r>
      <w:r>
        <w:t xml:space="preserve"> </w:t>
      </w:r>
      <w:r w:rsidRPr="00F44C8C">
        <w:t>Development of means of measuring the extent of inactivation of the oocysts and measuring their infectiousness, combined with genotyping led to a significant increases in the understanding of control methods and demonstrated that UV was much more ef</w:t>
      </w:r>
      <w:r>
        <w:t>fective than initially thought.</w:t>
      </w:r>
    </w:p>
    <w:p w14:paraId="041E31BA" w14:textId="77777777" w:rsidR="003741ED" w:rsidRPr="00F44C8C" w:rsidRDefault="003741ED" w:rsidP="00516A27"/>
    <w:p w14:paraId="041E31BB" w14:textId="77777777" w:rsidR="003741ED" w:rsidRPr="00F44C8C" w:rsidRDefault="003741ED" w:rsidP="00516A27">
      <w:r w:rsidRPr="00F44C8C">
        <w:t>UV will also control bacteria, but, like ozone, leaves no disinfectant residual.</w:t>
      </w:r>
    </w:p>
    <w:p w14:paraId="041E31BC" w14:textId="77777777" w:rsidR="003741ED" w:rsidRPr="00F44C8C" w:rsidRDefault="003741ED" w:rsidP="00516A27"/>
    <w:p w14:paraId="041E31BD" w14:textId="77777777" w:rsidR="003741ED" w:rsidRPr="004740B0" w:rsidRDefault="003741ED" w:rsidP="00516A27">
      <w:pPr>
        <w:pStyle w:val="Heading4"/>
      </w:pPr>
      <w:bookmarkStart w:id="120" w:name="_Toc362013195"/>
      <w:r w:rsidRPr="004740B0">
        <w:t>Cyanobacteria</w:t>
      </w:r>
      <w:bookmarkEnd w:id="120"/>
    </w:p>
    <w:p w14:paraId="041E31BE" w14:textId="77777777" w:rsidR="003741ED" w:rsidRDefault="003741ED" w:rsidP="00516A27">
      <w:r>
        <w:t>Prior to 2000, c</w:t>
      </w:r>
      <w:r w:rsidRPr="00F44C8C">
        <w:t xml:space="preserve">yanobacteria were not </w:t>
      </w:r>
      <w:r>
        <w:t xml:space="preserve">considered </w:t>
      </w:r>
      <w:r w:rsidRPr="00F44C8C">
        <w:t>a major problem in N</w:t>
      </w:r>
      <w:r>
        <w:t xml:space="preserve">ew </w:t>
      </w:r>
      <w:r w:rsidRPr="00F44C8C">
        <w:t>Z</w:t>
      </w:r>
      <w:r>
        <w:t>ealand</w:t>
      </w:r>
      <w:r w:rsidRPr="00F44C8C">
        <w:t xml:space="preserve"> surface waters.</w:t>
      </w:r>
      <w:r>
        <w:t xml:space="preserve"> </w:t>
      </w:r>
      <w:r w:rsidRPr="00F44C8C">
        <w:t>Outbreaks were few and far between and confined mainly to standing waters such as ponds and lakes.</w:t>
      </w:r>
      <w:r>
        <w:t xml:space="preserve"> </w:t>
      </w:r>
      <w:r w:rsidRPr="00F44C8C">
        <w:t>Since about 2000 the situation</w:t>
      </w:r>
      <w:r>
        <w:t xml:space="preserve"> changed and c</w:t>
      </w:r>
      <w:r w:rsidRPr="00F44C8C">
        <w:t>yanobacteria became much more prevalent, including a major outbreak in the Waikato River.</w:t>
      </w:r>
      <w:r>
        <w:t xml:space="preserve"> </w:t>
      </w:r>
      <w:r w:rsidRPr="00F44C8C">
        <w:t xml:space="preserve">Also it </w:t>
      </w:r>
      <w:r>
        <w:t>was</w:t>
      </w:r>
      <w:r w:rsidRPr="00F44C8C">
        <w:t xml:space="preserve"> realised that the pub</w:t>
      </w:r>
      <w:r>
        <w:t>lic health concern was not the c</w:t>
      </w:r>
      <w:r w:rsidRPr="00F44C8C">
        <w:t>yanobacteria themselves but the cyanotoxins that they produced.</w:t>
      </w:r>
    </w:p>
    <w:p w14:paraId="041E31BF" w14:textId="77777777" w:rsidR="003741ED" w:rsidRDefault="003741ED" w:rsidP="00516A27"/>
    <w:p w14:paraId="041E31C0" w14:textId="77777777" w:rsidR="003741ED" w:rsidRDefault="003741ED" w:rsidP="00A51AA8">
      <w:pPr>
        <w:keepLines/>
      </w:pPr>
      <w:r w:rsidRPr="00F44C8C">
        <w:t>Cyanobacteria produce a range of toxins similar to those found in toxic shellfish.</w:t>
      </w:r>
      <w:r>
        <w:t xml:space="preserve"> </w:t>
      </w:r>
      <w:r w:rsidRPr="00F44C8C">
        <w:t>Thus the control measures had to be based on the management of the toxins at least as much as the organisms.</w:t>
      </w:r>
      <w:r>
        <w:t xml:space="preserve"> In addition to the planktonic c</w:t>
      </w:r>
      <w:r w:rsidRPr="00F44C8C">
        <w:t xml:space="preserve">yanobacteria in the water mass, pads of benthic </w:t>
      </w:r>
      <w:r>
        <w:t>c</w:t>
      </w:r>
      <w:r w:rsidRPr="00F44C8C">
        <w:t>yanobacteria have also become a problem and have caused a number of dog deaths.</w:t>
      </w:r>
      <w:r>
        <w:t xml:space="preserve"> It w</w:t>
      </w:r>
      <w:r w:rsidRPr="00F44C8C">
        <w:t xml:space="preserve">as considered </w:t>
      </w:r>
      <w:r>
        <w:t>prudent</w:t>
      </w:r>
      <w:r w:rsidRPr="00F44C8C">
        <w:t xml:space="preserve"> to develop management techniques including action levels for </w:t>
      </w:r>
      <w:r>
        <w:t>c</w:t>
      </w:r>
      <w:r w:rsidRPr="00F44C8C">
        <w:t>yanobacteria and cyanotoxins in drinking and recreational waters.</w:t>
      </w:r>
    </w:p>
    <w:p w14:paraId="041E31C1" w14:textId="77777777" w:rsidR="003741ED" w:rsidRPr="00F44C8C" w:rsidRDefault="003741ED" w:rsidP="00516A27"/>
    <w:p w14:paraId="041E31C2" w14:textId="77777777" w:rsidR="003741ED" w:rsidRPr="004740B0" w:rsidRDefault="003741ED" w:rsidP="00516A27">
      <w:pPr>
        <w:pStyle w:val="Heading4"/>
      </w:pPr>
      <w:bookmarkStart w:id="121" w:name="_Toc362013196"/>
      <w:r w:rsidRPr="004740B0">
        <w:t>Small water supplies</w:t>
      </w:r>
      <w:bookmarkEnd w:id="121"/>
    </w:p>
    <w:p w14:paraId="041E31C3" w14:textId="77777777" w:rsidR="003741ED" w:rsidRDefault="003741ED" w:rsidP="00516A27">
      <w:r>
        <w:t>Before</w:t>
      </w:r>
      <w:r w:rsidRPr="00F44C8C">
        <w:t xml:space="preserve"> 2</w:t>
      </w:r>
      <w:r>
        <w:t>005 the development of drinking-</w:t>
      </w:r>
      <w:r w:rsidRPr="00F44C8C">
        <w:t xml:space="preserve">water standards was largely targeted to the management of water supplies serving populations greater than </w:t>
      </w:r>
      <w:r>
        <w:t>500</w:t>
      </w:r>
      <w:r w:rsidRPr="00F44C8C">
        <w:t>.</w:t>
      </w:r>
      <w:r>
        <w:t xml:space="preserve"> A</w:t>
      </w:r>
      <w:r w:rsidRPr="00F44C8C">
        <w:t>nnual reviews of drinking-water quality have shown that the smaller supplies consistently perform less well than larger supplies.</w:t>
      </w:r>
      <w:r>
        <w:t xml:space="preserve"> </w:t>
      </w:r>
      <w:r w:rsidRPr="00F44C8C">
        <w:t xml:space="preserve">Also, the costs of monitoring water quality are relatively small per head of population when spread over a large community, but excessive when spread over a small </w:t>
      </w:r>
      <w:r>
        <w:t xml:space="preserve">number of people. Between 2000 and </w:t>
      </w:r>
      <w:r w:rsidRPr="00F44C8C">
        <w:t xml:space="preserve">2005 major consultations and discussions were held to try to improve the situation </w:t>
      </w:r>
      <w:r>
        <w:t>for</w:t>
      </w:r>
      <w:r w:rsidRPr="00F44C8C">
        <w:t xml:space="preserve"> small supplies</w:t>
      </w:r>
      <w:r>
        <w:t>,</w:t>
      </w:r>
      <w:r w:rsidRPr="00F44C8C">
        <w:t xml:space="preserve"> </w:t>
      </w:r>
      <w:r>
        <w:t xml:space="preserve">so </w:t>
      </w:r>
      <w:r w:rsidRPr="00F44C8C">
        <w:t xml:space="preserve">drinking water standards based on risk management planning rather than formal compliance with water quality standards were developed for use in the 2005 </w:t>
      </w:r>
      <w:r>
        <w:t>DWSNZ</w:t>
      </w:r>
      <w:r w:rsidRPr="00F44C8C">
        <w:t>.</w:t>
      </w:r>
    </w:p>
    <w:p w14:paraId="041E31C4" w14:textId="77777777" w:rsidR="003741ED" w:rsidRPr="00F44C8C" w:rsidRDefault="003741ED" w:rsidP="00516A27"/>
    <w:p w14:paraId="041E31C5" w14:textId="77777777" w:rsidR="003741ED" w:rsidRPr="004740B0" w:rsidRDefault="003741ED" w:rsidP="00516A27">
      <w:pPr>
        <w:pStyle w:val="Heading4"/>
      </w:pPr>
      <w:bookmarkStart w:id="122" w:name="_Toc362013197"/>
      <w:r w:rsidRPr="004740B0">
        <w:t>Tankered drinking-water</w:t>
      </w:r>
      <w:bookmarkEnd w:id="122"/>
    </w:p>
    <w:p w14:paraId="041E31C6" w14:textId="77777777" w:rsidR="003741ED" w:rsidRDefault="003741ED" w:rsidP="00516A27">
      <w:r w:rsidRPr="00F44C8C">
        <w:t>In small unreticulated drinking-water supplies, especially ones in which roof</w:t>
      </w:r>
      <w:r>
        <w:t xml:space="preserve"> </w:t>
      </w:r>
      <w:r w:rsidRPr="00F44C8C">
        <w:t>water provides a significant proportion of the available water, it is almost inevitable that some portion of the water will be provided by tankered supplies.</w:t>
      </w:r>
    </w:p>
    <w:p w14:paraId="041E31C7" w14:textId="77777777" w:rsidR="003741ED" w:rsidRPr="00F44C8C" w:rsidRDefault="003741ED" w:rsidP="00516A27"/>
    <w:p w14:paraId="041E31C8" w14:textId="77777777" w:rsidR="003741ED" w:rsidRDefault="003741ED" w:rsidP="00516A27">
      <w:r w:rsidRPr="00F44C8C">
        <w:t xml:space="preserve">It was considered necessary to provide for the management of the quality of this tankered </w:t>
      </w:r>
      <w:r>
        <w:t>drinking-</w:t>
      </w:r>
      <w:r w:rsidRPr="00F44C8C">
        <w:t xml:space="preserve">water because there was anecdotal evidence that some tankered water deliveries were </w:t>
      </w:r>
      <w:r>
        <w:t>of dubious quality, due to use of</w:t>
      </w:r>
      <w:r w:rsidRPr="00F44C8C">
        <w:t xml:space="preserve"> dirty tankers or filling </w:t>
      </w:r>
      <w:r>
        <w:t xml:space="preserve">them </w:t>
      </w:r>
      <w:r w:rsidRPr="00F44C8C">
        <w:t>from other than town supply hydrants.</w:t>
      </w:r>
    </w:p>
    <w:p w14:paraId="041E31C9" w14:textId="77777777" w:rsidR="003741ED" w:rsidRPr="00F44C8C" w:rsidRDefault="003741ED" w:rsidP="00516A27"/>
    <w:p w14:paraId="041E31CA" w14:textId="77777777" w:rsidR="003741ED" w:rsidRPr="00320B23" w:rsidRDefault="003741ED" w:rsidP="00516A27">
      <w:pPr>
        <w:pStyle w:val="Heading3"/>
      </w:pPr>
      <w:bookmarkStart w:id="123" w:name="_Toc362013198"/>
      <w:bookmarkStart w:id="124" w:name="_Toc364704299"/>
      <w:bookmarkStart w:id="125" w:name="_Toc2333437"/>
      <w:bookmarkStart w:id="126" w:name="_Toc8979322"/>
      <w:r>
        <w:t>Development of the drinking-water assistance programme</w:t>
      </w:r>
      <w:bookmarkEnd w:id="123"/>
      <w:bookmarkEnd w:id="124"/>
      <w:bookmarkEnd w:id="125"/>
      <w:bookmarkEnd w:id="126"/>
    </w:p>
    <w:p w14:paraId="041E31CB" w14:textId="77777777" w:rsidR="003741ED" w:rsidRPr="00F44C8C" w:rsidRDefault="003741ED" w:rsidP="00516A27">
      <w:r w:rsidRPr="00F44C8C">
        <w:t xml:space="preserve">By 2003 it was evident from the annual review of drinking-water quality management that the improvement in water supplies due to the implementation of the 1993 policies had reached the point of diminishing returns and </w:t>
      </w:r>
      <w:r>
        <w:t xml:space="preserve">had reached a </w:t>
      </w:r>
      <w:r w:rsidRPr="00F44C8C">
        <w:t>plateau.</w:t>
      </w:r>
      <w:r>
        <w:t xml:space="preserve"> L</w:t>
      </w:r>
      <w:r w:rsidRPr="00F44C8C">
        <w:t>arger supplies were substantially complying with the DWSNZ, but a number of the smaller supplies did not comply.</w:t>
      </w:r>
    </w:p>
    <w:p w14:paraId="041E31CC" w14:textId="77777777" w:rsidR="003741ED" w:rsidRPr="00F44C8C" w:rsidRDefault="003741ED" w:rsidP="00516A27"/>
    <w:p w14:paraId="041E31CD" w14:textId="77777777" w:rsidR="003741ED" w:rsidRPr="00F44C8C" w:rsidRDefault="003741ED" w:rsidP="00516A27">
      <w:r w:rsidRPr="00F44C8C">
        <w:t>To ascertain the reasons for the non-performance of the smaller supplies, the Ministry sponsored surveys of some 120 smaller supplies to ascertain what these suppliers considered to be the major impediments to the improvement of their performance.</w:t>
      </w:r>
      <w:r w:rsidRPr="00516A27">
        <w:rPr>
          <w:rStyle w:val="FootnoteReference"/>
        </w:rPr>
        <w:footnoteReference w:id="9"/>
      </w:r>
      <w:r>
        <w:t xml:space="preserve"> </w:t>
      </w:r>
      <w:r w:rsidRPr="00F44C8C">
        <w:t>This was supplemented by sixteen regional public meetings from Whang</w:t>
      </w:r>
      <w:r>
        <w:t>a</w:t>
      </w:r>
      <w:r w:rsidRPr="00F44C8C">
        <w:t>rei to Invercargill</w:t>
      </w:r>
      <w:r>
        <w:t>.</w:t>
      </w:r>
      <w:r w:rsidRPr="00516A27">
        <w:rPr>
          <w:rStyle w:val="FootnoteReference"/>
        </w:rPr>
        <w:footnoteReference w:id="10"/>
      </w:r>
      <w:r>
        <w:t xml:space="preserve"> </w:t>
      </w:r>
      <w:r w:rsidRPr="00F44C8C">
        <w:t>The principal impediment to compliance with the proposed legislation was seen as lack of technical training of the operators and the availability of technical information.</w:t>
      </w:r>
      <w:r>
        <w:t xml:space="preserve"> </w:t>
      </w:r>
      <w:r w:rsidRPr="00F44C8C">
        <w:t>This was considered by the small suppliers to be even more important than the costs that would be incurred in complying.</w:t>
      </w:r>
      <w:r>
        <w:t xml:space="preserve"> </w:t>
      </w:r>
      <w:r w:rsidRPr="00F44C8C">
        <w:t>Many of these suppliers did not know how to effectively manage the use o</w:t>
      </w:r>
      <w:r>
        <w:t>f the facilities that they already had.</w:t>
      </w:r>
    </w:p>
    <w:p w14:paraId="041E31CE" w14:textId="77777777" w:rsidR="003741ED" w:rsidRPr="00F44C8C" w:rsidRDefault="003741ED" w:rsidP="00516A27"/>
    <w:p w14:paraId="041E31CF" w14:textId="77777777" w:rsidR="003741ED" w:rsidRPr="00F44C8C" w:rsidRDefault="003741ED" w:rsidP="00516A27">
      <w:r w:rsidRPr="00F44C8C">
        <w:t>During the government</w:t>
      </w:r>
      <w:r>
        <w:t>’</w:t>
      </w:r>
      <w:r w:rsidRPr="00F44C8C">
        <w:t>s Infrastructure Stocktake (aimed at identifying the key utilities required to underpin the economic well</w:t>
      </w:r>
      <w:r>
        <w:t>-</w:t>
      </w:r>
      <w:r w:rsidRPr="00F44C8C">
        <w:t>being of New Zealand</w:t>
      </w:r>
      <w:r>
        <w:t>ers</w:t>
      </w:r>
      <w:r w:rsidRPr="00F44C8C">
        <w:t>), drinking-water and waste management wer</w:t>
      </w:r>
      <w:r>
        <w:t>e identified as key utilities.</w:t>
      </w:r>
    </w:p>
    <w:p w14:paraId="041E31D0" w14:textId="77777777" w:rsidR="003741ED" w:rsidRPr="00F44C8C" w:rsidRDefault="003741ED" w:rsidP="00516A27"/>
    <w:p w14:paraId="041E31D1" w14:textId="77777777" w:rsidR="003741ED" w:rsidRPr="00853A3D" w:rsidRDefault="003741ED" w:rsidP="00516A27">
      <w:r w:rsidRPr="00853A3D">
        <w:t>The need to improve the performance management of small supplies had been demonstrated by their poor performance recorded in the annual reviews of drinking water quality and by the responses of small communities to the consultation rounds. By 2000 sufficient information was being gathered on the management needs of small communities to enable the management needs of the 20 percent of the population serviced by small drinking-water supplies to be addressed.</w:t>
      </w:r>
    </w:p>
    <w:p w14:paraId="041E31D2" w14:textId="77777777" w:rsidR="003741ED" w:rsidRDefault="003741ED" w:rsidP="00516A27"/>
    <w:p w14:paraId="041E31D3" w14:textId="77777777" w:rsidR="003741ED" w:rsidRDefault="003741ED" w:rsidP="00516A27">
      <w:r w:rsidRPr="00F44C8C">
        <w:t>Plannin</w:t>
      </w:r>
      <w:r w:rsidRPr="00516A27">
        <w:t>g</w:t>
      </w:r>
      <w:r w:rsidRPr="00F44C8C">
        <w:t xml:space="preserve"> to meet the needs for provision of technical information and training for operators of small supplies together with financial assistance where this could be demonstrated to be necessary commenced in 2001.</w:t>
      </w:r>
      <w:r>
        <w:t xml:space="preserve"> </w:t>
      </w:r>
      <w:r w:rsidRPr="00F44C8C">
        <w:t>As a result of the government</w:t>
      </w:r>
      <w:r>
        <w:t>’</w:t>
      </w:r>
      <w:r w:rsidRPr="00F44C8C">
        <w:t>s infrastructure stocktake, funding for assistance to underperforming drinking-water supplies was made available in the 2005 Budget.</w:t>
      </w:r>
    </w:p>
    <w:p w14:paraId="041E31D4" w14:textId="77777777" w:rsidR="003741ED" w:rsidRDefault="003741ED" w:rsidP="00516A27"/>
    <w:p w14:paraId="041E31D5" w14:textId="77777777" w:rsidR="003741ED" w:rsidRPr="00320B23" w:rsidRDefault="003741ED" w:rsidP="00516A27">
      <w:pPr>
        <w:pStyle w:val="Heading2"/>
      </w:pPr>
      <w:bookmarkStart w:id="127" w:name="_Toc362013199"/>
      <w:bookmarkStart w:id="128" w:name="_Toc364704300"/>
      <w:bookmarkStart w:id="129" w:name="_Toc485635041"/>
      <w:bookmarkStart w:id="130" w:name="_Toc2333438"/>
      <w:bookmarkStart w:id="131" w:name="_Toc8979323"/>
      <w:r>
        <w:t>O</w:t>
      </w:r>
      <w:r w:rsidRPr="00320B23">
        <w:t>perational development of the drinking-water management programme 2005</w:t>
      </w:r>
      <w:r>
        <w:t>–</w:t>
      </w:r>
      <w:r w:rsidRPr="00320B23">
        <w:t>2009</w:t>
      </w:r>
      <w:bookmarkEnd w:id="127"/>
      <w:bookmarkEnd w:id="128"/>
      <w:bookmarkEnd w:id="129"/>
      <w:bookmarkEnd w:id="130"/>
      <w:bookmarkEnd w:id="131"/>
    </w:p>
    <w:p w14:paraId="041E31D6" w14:textId="77777777" w:rsidR="003741ED" w:rsidRPr="00320B23" w:rsidRDefault="003741ED" w:rsidP="00516A27">
      <w:pPr>
        <w:pStyle w:val="Heading3"/>
      </w:pPr>
      <w:bookmarkStart w:id="132" w:name="_Toc362013200"/>
      <w:bookmarkStart w:id="133" w:name="_Toc364704301"/>
      <w:bookmarkStart w:id="134" w:name="_Toc2333439"/>
      <w:bookmarkStart w:id="135" w:name="_Toc8979324"/>
      <w:r>
        <w:t>T</w:t>
      </w:r>
      <w:r w:rsidRPr="00320B23">
        <w:t xml:space="preserve">he </w:t>
      </w:r>
      <w:r>
        <w:t>D</w:t>
      </w:r>
      <w:r w:rsidRPr="00320B23">
        <w:t xml:space="preserve">rinking-water </w:t>
      </w:r>
      <w:r>
        <w:t>A</w:t>
      </w:r>
      <w:r w:rsidRPr="00320B23">
        <w:t xml:space="preserve">ssistance </w:t>
      </w:r>
      <w:r>
        <w:t>P</w:t>
      </w:r>
      <w:r w:rsidRPr="00320B23">
        <w:t>rogramme, DWAP</w:t>
      </w:r>
      <w:bookmarkEnd w:id="132"/>
      <w:bookmarkEnd w:id="133"/>
      <w:bookmarkEnd w:id="134"/>
      <w:bookmarkEnd w:id="135"/>
    </w:p>
    <w:p w14:paraId="041E31D7" w14:textId="77777777" w:rsidR="003741ED" w:rsidRPr="00A13666" w:rsidRDefault="003741ED" w:rsidP="00516A27">
      <w:r w:rsidRPr="00A13666">
        <w:t>To meet both the technical and financial needs of the small suppliers that had been identified by consultation and plan</w:t>
      </w:r>
      <w:r>
        <w:t>ning in 2000</w:t>
      </w:r>
      <w:r w:rsidR="00516A27">
        <w:t>–</w:t>
      </w:r>
      <w:r>
        <w:t>2005, the Drinking-w</w:t>
      </w:r>
      <w:r w:rsidRPr="00A13666">
        <w:t>ater Assistance Programme (DWAP) was designed to have two complementary components</w:t>
      </w:r>
      <w:r>
        <w:t>: the Technical Assistance Programme and the Drinking-water Subsidy Scheme</w:t>
      </w:r>
      <w:r w:rsidRPr="00A13666">
        <w:t>.</w:t>
      </w:r>
      <w:r>
        <w:t xml:space="preserve"> Public health units have been appointed to implement the DWAP on behalf of the Ministry and is for water supplies serving between 25–5,000 people.</w:t>
      </w:r>
    </w:p>
    <w:p w14:paraId="041E31D8" w14:textId="77777777" w:rsidR="003741ED" w:rsidRPr="00A13666" w:rsidRDefault="003741ED" w:rsidP="00516A27"/>
    <w:p w14:paraId="041E31D9" w14:textId="77777777" w:rsidR="003741ED" w:rsidRPr="00A13666" w:rsidRDefault="003741ED" w:rsidP="00516A27">
      <w:pPr>
        <w:pStyle w:val="Heading4-nonumbering"/>
      </w:pPr>
      <w:r>
        <w:t>a)</w:t>
      </w:r>
      <w:r>
        <w:tab/>
      </w:r>
      <w:r w:rsidRPr="00A13666">
        <w:t>The Technical Assistance Programme</w:t>
      </w:r>
    </w:p>
    <w:p w14:paraId="041E31DA" w14:textId="77777777" w:rsidR="003741ED" w:rsidRDefault="003741ED" w:rsidP="00516A27">
      <w:r w:rsidRPr="00A13666">
        <w:t>The first component of the DWAP is a Technical Assistance Programme that provides advice and technical assistance to drinking-water suppliers.</w:t>
      </w:r>
      <w:r>
        <w:t xml:space="preserve"> </w:t>
      </w:r>
      <w:r w:rsidRPr="00A13666">
        <w:t xml:space="preserve">The </w:t>
      </w:r>
      <w:r>
        <w:t>Technical Assistance Programme</w:t>
      </w:r>
      <w:r w:rsidRPr="00A13666">
        <w:t xml:space="preserve"> assists suppliers to evaluate their supply, produce a </w:t>
      </w:r>
      <w:r>
        <w:t>WSP</w:t>
      </w:r>
      <w:r w:rsidRPr="00A13666">
        <w:t xml:space="preserve"> and optimise the performance of their existing facilities.</w:t>
      </w:r>
      <w:r>
        <w:t xml:space="preserve"> </w:t>
      </w:r>
      <w:r w:rsidRPr="00A13666">
        <w:t xml:space="preserve">Should the supply be incapable of complying with the DWSNZ after its performance has been optimised, the </w:t>
      </w:r>
      <w:r>
        <w:t>Technical Assistance Programme can assist with assessing</w:t>
      </w:r>
      <w:r w:rsidRPr="00A13666">
        <w:t xml:space="preserve"> the capital works needed to upgrade the supply so that it can meet its performance targets.</w:t>
      </w:r>
      <w:r>
        <w:t xml:space="preserve"> The Technical Assistance Programme is available to any supply under 5,000 people.</w:t>
      </w:r>
    </w:p>
    <w:p w14:paraId="041E31DB" w14:textId="77777777" w:rsidR="003741ED" w:rsidRPr="00A13666" w:rsidRDefault="003741ED" w:rsidP="00516A27"/>
    <w:p w14:paraId="041E31DC" w14:textId="77777777" w:rsidR="003741ED" w:rsidRPr="00A13666" w:rsidRDefault="003741ED" w:rsidP="00516A27">
      <w:pPr>
        <w:pStyle w:val="Heading4-nonumbering"/>
      </w:pPr>
      <w:r>
        <w:t>b)</w:t>
      </w:r>
      <w:r>
        <w:tab/>
        <w:t>The Subsidy Scheme</w:t>
      </w:r>
    </w:p>
    <w:p w14:paraId="041E31DD" w14:textId="77777777" w:rsidR="003741ED" w:rsidRDefault="003741ED" w:rsidP="00516A27">
      <w:r w:rsidRPr="00A13666">
        <w:t xml:space="preserve">The </w:t>
      </w:r>
      <w:r>
        <w:t>Technical Assistance Programme</w:t>
      </w:r>
      <w:r w:rsidRPr="00A13666">
        <w:t xml:space="preserve"> is complemented by a </w:t>
      </w:r>
      <w:r>
        <w:t>Subsidy Scheme</w:t>
      </w:r>
      <w:r w:rsidRPr="00A13666">
        <w:t xml:space="preserve"> that administers the funds available to the DWAP </w:t>
      </w:r>
      <w:r>
        <w:t xml:space="preserve">for capital assistance. </w:t>
      </w:r>
      <w:r w:rsidRPr="00A13666">
        <w:t xml:space="preserve">Eligibility and priority criteria were </w:t>
      </w:r>
      <w:r>
        <w:t>revised in 2010</w:t>
      </w:r>
      <w:r w:rsidRPr="00A13666">
        <w:t>.</w:t>
      </w:r>
      <w:r>
        <w:t xml:space="preserve"> Applications for subsidy</w:t>
      </w:r>
      <w:r w:rsidRPr="00A13666">
        <w:t xml:space="preserve"> are processed through </w:t>
      </w:r>
      <w:r>
        <w:t>the Sanitary Works Technical Advisory Committee (</w:t>
      </w:r>
      <w:r w:rsidRPr="00A13666">
        <w:t>SAWTAC</w:t>
      </w:r>
      <w:r>
        <w:t>).</w:t>
      </w:r>
    </w:p>
    <w:p w14:paraId="041E31DE" w14:textId="77777777" w:rsidR="003741ED" w:rsidRPr="00A13666" w:rsidRDefault="003741ED" w:rsidP="00516A27"/>
    <w:p w14:paraId="041E31DF" w14:textId="77777777" w:rsidR="003741ED" w:rsidRDefault="003741ED" w:rsidP="003741ED">
      <w:r>
        <w:t xml:space="preserve">Applicants for the Subsidy Scheme must meet the criteria set out in </w:t>
      </w:r>
      <w:r w:rsidRPr="004F63A6">
        <w:rPr>
          <w:i/>
        </w:rPr>
        <w:t>Applying for a Drinking-water Subsidy: Guidelines for applicants and district health board public health units</w:t>
      </w:r>
      <w:r>
        <w:t xml:space="preserve"> available on the Ministry of Health’s website. For the Subsidy Scheme:</w:t>
      </w:r>
    </w:p>
    <w:p w14:paraId="041E31E0" w14:textId="77777777" w:rsidR="003741ED" w:rsidRPr="004F63A6" w:rsidRDefault="003741ED" w:rsidP="00516A27">
      <w:pPr>
        <w:pStyle w:val="Bullet"/>
        <w:rPr>
          <w:lang w:eastAsia="en-NZ"/>
        </w:rPr>
      </w:pPr>
      <w:r w:rsidRPr="004F63A6">
        <w:rPr>
          <w:lang w:eastAsia="en-NZ"/>
        </w:rPr>
        <w:t>$10 million is available for allocation each year until 2015</w:t>
      </w:r>
    </w:p>
    <w:p w14:paraId="041E31E1" w14:textId="77777777" w:rsidR="003741ED" w:rsidRPr="004F63A6" w:rsidRDefault="003741ED" w:rsidP="00516A27">
      <w:pPr>
        <w:pStyle w:val="Bullet"/>
        <w:rPr>
          <w:lang w:eastAsia="en-NZ"/>
        </w:rPr>
      </w:pPr>
      <w:r w:rsidRPr="004F63A6">
        <w:rPr>
          <w:lang w:eastAsia="en-NZ"/>
        </w:rPr>
        <w:t>the scheme will pay up to 85</w:t>
      </w:r>
      <w:r>
        <w:rPr>
          <w:lang w:eastAsia="en-NZ"/>
        </w:rPr>
        <w:t> percent</w:t>
      </w:r>
      <w:r w:rsidRPr="004F63A6">
        <w:rPr>
          <w:lang w:eastAsia="en-NZ"/>
        </w:rPr>
        <w:t xml:space="preserve"> o</w:t>
      </w:r>
      <w:r>
        <w:rPr>
          <w:lang w:eastAsia="en-NZ"/>
        </w:rPr>
        <w:t>f costs (previously it was 95 percent)</w:t>
      </w:r>
    </w:p>
    <w:p w14:paraId="041E31E2" w14:textId="77777777" w:rsidR="003741ED" w:rsidRPr="004F63A6" w:rsidRDefault="003741ED" w:rsidP="00516A27">
      <w:pPr>
        <w:pStyle w:val="Bullet"/>
        <w:rPr>
          <w:lang w:eastAsia="en-NZ"/>
        </w:rPr>
      </w:pPr>
      <w:r w:rsidRPr="004F63A6">
        <w:rPr>
          <w:lang w:eastAsia="en-NZ"/>
        </w:rPr>
        <w:t>only those communities with a Deprivation In</w:t>
      </w:r>
      <w:r>
        <w:rPr>
          <w:lang w:eastAsia="en-NZ"/>
        </w:rPr>
        <w:t>dex of 7 and above are eligible</w:t>
      </w:r>
    </w:p>
    <w:p w14:paraId="041E31E3" w14:textId="77777777" w:rsidR="003741ED" w:rsidRPr="004F63A6" w:rsidRDefault="003741ED" w:rsidP="00516A27">
      <w:pPr>
        <w:pStyle w:val="Bullet"/>
        <w:rPr>
          <w:lang w:eastAsia="en-NZ"/>
        </w:rPr>
      </w:pPr>
      <w:r>
        <w:rPr>
          <w:lang w:eastAsia="en-NZ"/>
        </w:rPr>
        <w:t>t</w:t>
      </w:r>
      <w:r w:rsidRPr="004F63A6">
        <w:rPr>
          <w:lang w:eastAsia="en-NZ"/>
        </w:rPr>
        <w:t>he criteria clarify that asset replacement, maintenance, land purchase and applications from city councils are not eligible for subsidies</w:t>
      </w:r>
    </w:p>
    <w:p w14:paraId="041E31E4" w14:textId="77777777" w:rsidR="003741ED" w:rsidRPr="004F63A6" w:rsidRDefault="003741ED" w:rsidP="00516A27">
      <w:pPr>
        <w:pStyle w:val="Bullet"/>
        <w:rPr>
          <w:lang w:eastAsia="en-NZ"/>
        </w:rPr>
      </w:pPr>
      <w:r w:rsidRPr="004F63A6">
        <w:rPr>
          <w:lang w:eastAsia="en-NZ"/>
        </w:rPr>
        <w:t>an engineering review is required for subsidy applications that exceed $1</w:t>
      </w:r>
      <w:r w:rsidR="00516A27">
        <w:rPr>
          <w:lang w:eastAsia="en-NZ"/>
        </w:rPr>
        <w:t>,</w:t>
      </w:r>
      <w:r w:rsidRPr="004F63A6">
        <w:rPr>
          <w:lang w:eastAsia="en-NZ"/>
        </w:rPr>
        <w:t>000 subsidy per person for a water supply scheme.</w:t>
      </w:r>
    </w:p>
    <w:p w14:paraId="041E31E5" w14:textId="77777777" w:rsidR="003741ED" w:rsidRPr="00A13666" w:rsidRDefault="003741ED" w:rsidP="00516A27"/>
    <w:p w14:paraId="041E31E6" w14:textId="77777777" w:rsidR="003741ED" w:rsidRDefault="003741ED" w:rsidP="00516A27">
      <w:r>
        <w:t>Applications must be submitted to the Ministry of Health no later than 5 pm on 28</w:t>
      </w:r>
      <w:r w:rsidR="00516A27">
        <w:t> </w:t>
      </w:r>
      <w:r>
        <w:t>February of each year until 2015. Further information is available from public health units and on the Ministry of Health’s website.</w:t>
      </w:r>
    </w:p>
    <w:p w14:paraId="041E31E7" w14:textId="77777777" w:rsidR="003741ED" w:rsidRPr="00A13666" w:rsidRDefault="003741ED" w:rsidP="00516A27"/>
    <w:p w14:paraId="041E31E8" w14:textId="77777777" w:rsidR="003741ED" w:rsidRPr="00320B23" w:rsidRDefault="003741ED" w:rsidP="00516A27">
      <w:pPr>
        <w:pStyle w:val="Heading3"/>
      </w:pPr>
      <w:bookmarkStart w:id="136" w:name="_Toc362013201"/>
      <w:bookmarkStart w:id="137" w:name="_Toc364704302"/>
      <w:bookmarkStart w:id="138" w:name="_Toc2333440"/>
      <w:bookmarkStart w:id="139" w:name="_Toc8979325"/>
      <w:r>
        <w:t>L</w:t>
      </w:r>
      <w:r w:rsidRPr="00320B23">
        <w:t xml:space="preserve">egislation: </w:t>
      </w:r>
      <w:r>
        <w:t>T</w:t>
      </w:r>
      <w:r w:rsidRPr="00320B23">
        <w:t xml:space="preserve">he </w:t>
      </w:r>
      <w:r>
        <w:t>H</w:t>
      </w:r>
      <w:r w:rsidRPr="00320B23">
        <w:t>ealth (</w:t>
      </w:r>
      <w:r>
        <w:t>D</w:t>
      </w:r>
      <w:r w:rsidRPr="00320B23">
        <w:t xml:space="preserve">rinking </w:t>
      </w:r>
      <w:r>
        <w:t>W</w:t>
      </w:r>
      <w:r w:rsidRPr="00320B23">
        <w:t xml:space="preserve">ater) </w:t>
      </w:r>
      <w:r>
        <w:t>A</w:t>
      </w:r>
      <w:r w:rsidRPr="00320B23">
        <w:t xml:space="preserve">mendment </w:t>
      </w:r>
      <w:r>
        <w:t>A</w:t>
      </w:r>
      <w:r w:rsidRPr="00320B23">
        <w:t xml:space="preserve">ct </w:t>
      </w:r>
      <w:r>
        <w:t xml:space="preserve">2007 </w:t>
      </w:r>
      <w:r w:rsidRPr="00320B23">
        <w:t>(</w:t>
      </w:r>
      <w:r>
        <w:t>Part 2a of the Health Act 1956 – the Act</w:t>
      </w:r>
      <w:r w:rsidRPr="00320B23">
        <w:t>)</w:t>
      </w:r>
      <w:bookmarkEnd w:id="136"/>
      <w:bookmarkEnd w:id="137"/>
      <w:bookmarkEnd w:id="138"/>
      <w:bookmarkEnd w:id="139"/>
    </w:p>
    <w:p w14:paraId="041E31E9" w14:textId="77777777" w:rsidR="003741ED" w:rsidRPr="00A13666" w:rsidRDefault="003741ED" w:rsidP="00516A27">
      <w:r w:rsidRPr="00A13666">
        <w:t>The Health (Drinking Water) Amendment Bill that was passed in 2007 contained a number of changes from the original proposals submitted to Cabinet in 2000</w:t>
      </w:r>
      <w:r>
        <w:t>, which are listed in s</w:t>
      </w:r>
      <w:r w:rsidRPr="00A13666">
        <w:t>ection</w:t>
      </w:r>
      <w:r>
        <w:t> </w:t>
      </w:r>
      <w:r w:rsidRPr="00A13666">
        <w:t>1.2.2.</w:t>
      </w:r>
      <w:r>
        <w:t xml:space="preserve"> </w:t>
      </w:r>
      <w:r w:rsidRPr="00A13666">
        <w:t>These changes were either authorised by Cabinet before the Bill went to Parliament</w:t>
      </w:r>
      <w:r>
        <w:t>,</w:t>
      </w:r>
      <w:r w:rsidRPr="00A13666">
        <w:t xml:space="preserve"> or were recommended by the Select Committee.</w:t>
      </w:r>
      <w:r>
        <w:t xml:space="preserve"> These included:</w:t>
      </w:r>
    </w:p>
    <w:p w14:paraId="041E31EA" w14:textId="77777777" w:rsidR="003741ED" w:rsidRPr="00A13666" w:rsidRDefault="003741ED" w:rsidP="00A51AA8">
      <w:pPr>
        <w:pStyle w:val="Bullet"/>
        <w:keepNext/>
      </w:pPr>
      <w:r>
        <w:t>t</w:t>
      </w:r>
      <w:r w:rsidRPr="00A13666">
        <w:t>ankers, ports and airports to be classi</w:t>
      </w:r>
      <w:r>
        <w:t>fied as drinking-water suppliers</w:t>
      </w:r>
    </w:p>
    <w:p w14:paraId="041E31EB" w14:textId="77777777" w:rsidR="003741ED" w:rsidRPr="00A13666" w:rsidRDefault="003741ED" w:rsidP="00A51AA8">
      <w:pPr>
        <w:pStyle w:val="Bullet"/>
        <w:keepNext/>
      </w:pPr>
      <w:r>
        <w:t>c</w:t>
      </w:r>
      <w:r w:rsidRPr="00A13666">
        <w:t xml:space="preserve">hanges to the criteria for establishing whether the </w:t>
      </w:r>
      <w:r>
        <w:t>‘</w:t>
      </w:r>
      <w:r w:rsidRPr="00A13666">
        <w:t>all practicabl</w:t>
      </w:r>
      <w:r>
        <w:t>e steps’ criterion had been met</w:t>
      </w:r>
    </w:p>
    <w:p w14:paraId="041E31EC" w14:textId="77777777" w:rsidR="003741ED" w:rsidRPr="00A13666" w:rsidRDefault="003741ED" w:rsidP="00516A27">
      <w:pPr>
        <w:pStyle w:val="Bullet"/>
      </w:pPr>
      <w:r>
        <w:t>a</w:t>
      </w:r>
      <w:r w:rsidRPr="00A13666">
        <w:t xml:space="preserve">ddition of the new category of Rural Agricultural </w:t>
      </w:r>
      <w:r>
        <w:t>Drinking-w</w:t>
      </w:r>
      <w:r w:rsidRPr="00A13666">
        <w:t>ater Supply to the list of</w:t>
      </w:r>
      <w:r>
        <w:t xml:space="preserve"> categories of water supplies</w:t>
      </w:r>
    </w:p>
    <w:p w14:paraId="041E31ED" w14:textId="77777777" w:rsidR="003741ED" w:rsidRPr="00A13666" w:rsidRDefault="003741ED" w:rsidP="00516A27">
      <w:pPr>
        <w:pStyle w:val="Bullet"/>
      </w:pPr>
      <w:r>
        <w:t>t</w:t>
      </w:r>
      <w:r w:rsidRPr="00A13666">
        <w:t xml:space="preserve">he requirement to assess whether an action required under the </w:t>
      </w:r>
      <w:r>
        <w:t xml:space="preserve">Act </w:t>
      </w:r>
      <w:r w:rsidRPr="00A13666">
        <w:t>is affordable as part of the procedure for deciding whether all practicable steps have been taken to achieve</w:t>
      </w:r>
      <w:r>
        <w:t xml:space="preserve"> a result required.</w:t>
      </w:r>
    </w:p>
    <w:p w14:paraId="041E31EE" w14:textId="77777777" w:rsidR="003741ED" w:rsidRDefault="003741ED" w:rsidP="00516A27"/>
    <w:p w14:paraId="041E31EF" w14:textId="77777777" w:rsidR="003741ED" w:rsidRPr="00A41417" w:rsidRDefault="003741ED" w:rsidP="00516A27">
      <w:pPr>
        <w:pStyle w:val="Heading3"/>
      </w:pPr>
      <w:bookmarkStart w:id="140" w:name="_Toc362013202"/>
      <w:bookmarkStart w:id="141" w:name="_Toc364704303"/>
      <w:bookmarkStart w:id="142" w:name="_Toc2333441"/>
      <w:bookmarkStart w:id="143" w:name="_Toc8979326"/>
      <w:r>
        <w:t xml:space="preserve">The 2008 revision of </w:t>
      </w:r>
      <w:r w:rsidRPr="00320B23">
        <w:t>DWSNZ 2005</w:t>
      </w:r>
      <w:bookmarkEnd w:id="140"/>
      <w:bookmarkEnd w:id="141"/>
      <w:bookmarkEnd w:id="142"/>
      <w:bookmarkEnd w:id="143"/>
    </w:p>
    <w:p w14:paraId="041E31F0" w14:textId="77777777" w:rsidR="003741ED" w:rsidRDefault="003741ED" w:rsidP="00516A27">
      <w:r w:rsidRPr="004E2F49">
        <w:t xml:space="preserve">The </w:t>
      </w:r>
      <w:r>
        <w:t>amendment to the Act</w:t>
      </w:r>
      <w:r w:rsidRPr="004E2F49">
        <w:t xml:space="preserve"> necessitated a number of changes to the DWSNZ 2005, </w:t>
      </w:r>
      <w:r>
        <w:t>including the need</w:t>
      </w:r>
      <w:r w:rsidRPr="004E2F49">
        <w:t xml:space="preserve"> to develop a section on Rural Agricultural Drinking-water Supplies.</w:t>
      </w:r>
      <w:r>
        <w:t xml:space="preserve"> </w:t>
      </w:r>
      <w:r w:rsidRPr="004E2F49">
        <w:t xml:space="preserve">The changes were published in the 2008 revision of the DWSNZ </w:t>
      </w:r>
      <w:r w:rsidRPr="00E66263">
        <w:t xml:space="preserve">2005 and became available as </w:t>
      </w:r>
      <w:r w:rsidRPr="00E66263">
        <w:rPr>
          <w:rFonts w:cs="Arial"/>
          <w:szCs w:val="22"/>
          <w:lang w:val="en"/>
        </w:rPr>
        <w:t>the Rural Agricultural Drinking-water Supply Guideline (Ministry of Health 2015)</w:t>
      </w:r>
      <w:r w:rsidRPr="00E66263">
        <w:t>.</w:t>
      </w:r>
      <w:r>
        <w:t xml:space="preserve"> </w:t>
      </w:r>
      <w:r w:rsidRPr="004E2F49">
        <w:t xml:space="preserve">The introduction of the </w:t>
      </w:r>
      <w:r>
        <w:t>WSP</w:t>
      </w:r>
      <w:r w:rsidRPr="004E2F49">
        <w:t>s necessitated a number of minor adjustments to ensu</w:t>
      </w:r>
      <w:r>
        <w:t>re compatibility with the Act.</w:t>
      </w:r>
    </w:p>
    <w:p w14:paraId="041E31F1" w14:textId="77777777" w:rsidR="003741ED" w:rsidRDefault="003741ED" w:rsidP="00516A27"/>
    <w:p w14:paraId="041E31F2" w14:textId="77777777" w:rsidR="003741ED" w:rsidRPr="00024B34" w:rsidRDefault="003741ED" w:rsidP="00516A27">
      <w:r w:rsidRPr="00024B34">
        <w:t>Although the DWSNZ 2005 had been the result of a consensus among members of the Expert Committee on Drinking-water Quality, set up to advise the Ministry of Health, several submissions from small water suppliers necessitated major rewrite of section</w:t>
      </w:r>
      <w:r w:rsidR="00516A27">
        <w:t> </w:t>
      </w:r>
      <w:r w:rsidRPr="00024B34">
        <w:t>10 (small supplies).</w:t>
      </w:r>
    </w:p>
    <w:p w14:paraId="041E31F3" w14:textId="77777777" w:rsidR="003741ED" w:rsidRDefault="003741ED" w:rsidP="00516A27"/>
    <w:p w14:paraId="041E31F4" w14:textId="77777777" w:rsidR="003741ED" w:rsidRPr="004E2F49" w:rsidRDefault="003741ED" w:rsidP="00516A27">
      <w:r>
        <w:t>Water suppliers were invited to comment on the 2005 DWSNZ, resulting in the clarification of</w:t>
      </w:r>
      <w:r w:rsidRPr="004E2F49">
        <w:t xml:space="preserve"> </w:t>
      </w:r>
      <w:r>
        <w:t xml:space="preserve">the </w:t>
      </w:r>
      <w:r w:rsidRPr="004E2F49">
        <w:t>other sections</w:t>
      </w:r>
      <w:r>
        <w:t>,</w:t>
      </w:r>
      <w:r w:rsidRPr="004E2F49">
        <w:t xml:space="preserve"> </w:t>
      </w:r>
      <w:r>
        <w:t>particularly related to procedural matters in the protozoal compliance section</w:t>
      </w:r>
      <w:r w:rsidRPr="004E2F49">
        <w:t>.</w:t>
      </w:r>
      <w:r>
        <w:t xml:space="preserve"> </w:t>
      </w:r>
      <w:r w:rsidRPr="004E2F49">
        <w:t xml:space="preserve">The opportunity was </w:t>
      </w:r>
      <w:r>
        <w:t xml:space="preserve">also </w:t>
      </w:r>
      <w:r w:rsidRPr="004E2F49">
        <w:t>taken to update the maximum acceptable value (MAV) tables based on the latest World Health Organization (WHO) information.</w:t>
      </w:r>
      <w:r>
        <w:t xml:space="preserve"> All water suppliers that had commented on the 2005 DWSNZ were asked to confirm that their concerns had been addressed in the draft revision.</w:t>
      </w:r>
    </w:p>
    <w:p w14:paraId="041E31F5" w14:textId="77777777" w:rsidR="003741ED" w:rsidRPr="00A13666" w:rsidRDefault="003741ED" w:rsidP="00516A27"/>
    <w:p w14:paraId="041E31F6" w14:textId="77777777" w:rsidR="003741ED" w:rsidRPr="00A41417" w:rsidRDefault="003741ED" w:rsidP="00516A27">
      <w:pPr>
        <w:pStyle w:val="Heading3"/>
      </w:pPr>
      <w:bookmarkStart w:id="144" w:name="_Toc362013203"/>
      <w:bookmarkStart w:id="145" w:name="_Toc364704304"/>
      <w:bookmarkStart w:id="146" w:name="_Toc2333442"/>
      <w:bookmarkStart w:id="147" w:name="_Toc8979327"/>
      <w:r>
        <w:t>Tankered drinking-water supplies</w:t>
      </w:r>
      <w:bookmarkEnd w:id="144"/>
      <w:bookmarkEnd w:id="145"/>
      <w:bookmarkEnd w:id="146"/>
      <w:bookmarkEnd w:id="147"/>
    </w:p>
    <w:p w14:paraId="041E31F7" w14:textId="77777777" w:rsidR="003741ED" w:rsidRPr="00A13666" w:rsidRDefault="003741ED" w:rsidP="00516A27">
      <w:r w:rsidRPr="00A13666">
        <w:t>Standards have been developed for use with different types of source water for tankered supplies.</w:t>
      </w:r>
      <w:r>
        <w:t xml:space="preserve"> </w:t>
      </w:r>
      <w:r w:rsidRPr="00A13666">
        <w:t>For operational guidance</w:t>
      </w:r>
      <w:r>
        <w:t>,</w:t>
      </w:r>
      <w:r w:rsidRPr="00A13666">
        <w:t xml:space="preserve"> the Tan</w:t>
      </w:r>
      <w:r>
        <w:t>kered Drinking Water Carrier’s A</w:t>
      </w:r>
      <w:r w:rsidRPr="00A13666">
        <w:t xml:space="preserve">ssociation has prepared </w:t>
      </w:r>
      <w:r w:rsidRPr="004E2F49">
        <w:rPr>
          <w:i/>
        </w:rPr>
        <w:t>Guidelines for the Safe Carriage and Delivery of Drinking-water</w:t>
      </w:r>
      <w:r w:rsidRPr="00A13666">
        <w:t>.</w:t>
      </w:r>
      <w:r>
        <w:t xml:space="preserve"> The initial draft was produced in conjunction with the New Zealand Water and Wastes Association, as a Code of Practice. The final version was published by the Ministry in 2008, as Guidelines (Ministry of Health 2008).</w:t>
      </w:r>
    </w:p>
    <w:p w14:paraId="041E31F8" w14:textId="77777777" w:rsidR="003741ED" w:rsidRDefault="003741ED" w:rsidP="00516A27"/>
    <w:p w14:paraId="041E31F9" w14:textId="77777777" w:rsidR="003741ED" w:rsidRPr="00A41417" w:rsidRDefault="003741ED" w:rsidP="00516A27">
      <w:pPr>
        <w:pStyle w:val="Heading3"/>
      </w:pPr>
      <w:bookmarkStart w:id="148" w:name="_Toc362013204"/>
      <w:bookmarkStart w:id="149" w:name="_Toc364704305"/>
      <w:bookmarkStart w:id="150" w:name="_Toc2333443"/>
      <w:bookmarkStart w:id="151" w:name="_Toc8979328"/>
      <w:r>
        <w:t>D</w:t>
      </w:r>
      <w:r w:rsidRPr="00320B23">
        <w:t>ev</w:t>
      </w:r>
      <w:r>
        <w:t>elopment of specifications for R</w:t>
      </w:r>
      <w:r w:rsidRPr="00320B23">
        <w:t xml:space="preserve">ural </w:t>
      </w:r>
      <w:r>
        <w:t>A</w:t>
      </w:r>
      <w:r w:rsidRPr="00320B23">
        <w:t xml:space="preserve">gricultural </w:t>
      </w:r>
      <w:r>
        <w:t>D</w:t>
      </w:r>
      <w:r w:rsidRPr="00320B23">
        <w:t>rinking-</w:t>
      </w:r>
      <w:r>
        <w:t>w</w:t>
      </w:r>
      <w:r w:rsidRPr="00320B23">
        <w:t xml:space="preserve">ater </w:t>
      </w:r>
      <w:r>
        <w:t>S</w:t>
      </w:r>
      <w:r w:rsidRPr="00320B23">
        <w:t>upplies (RADWS)</w:t>
      </w:r>
      <w:bookmarkEnd w:id="148"/>
      <w:bookmarkEnd w:id="149"/>
      <w:bookmarkEnd w:id="150"/>
      <w:bookmarkEnd w:id="151"/>
    </w:p>
    <w:p w14:paraId="041E31FA" w14:textId="77777777" w:rsidR="003741ED" w:rsidRPr="00A13666" w:rsidRDefault="003741ED" w:rsidP="00516A27">
      <w:r w:rsidRPr="00A13666">
        <w:t>The DWSNZ 2005</w:t>
      </w:r>
      <w:r>
        <w:t xml:space="preserve"> revised (</w:t>
      </w:r>
      <w:r w:rsidRPr="00A13666">
        <w:t>2008</w:t>
      </w:r>
      <w:r>
        <w:t>)</w:t>
      </w:r>
      <w:r w:rsidRPr="00A13666">
        <w:t xml:space="preserve"> are prescriptive standards developed to ensure </w:t>
      </w:r>
      <w:r>
        <w:t>potable</w:t>
      </w:r>
      <w:r w:rsidRPr="00A13666">
        <w:t xml:space="preserve"> drinking</w:t>
      </w:r>
      <w:r>
        <w:t>-</w:t>
      </w:r>
      <w:r w:rsidRPr="00A13666">
        <w:t>water for the population</w:t>
      </w:r>
      <w:r>
        <w:t>’</w:t>
      </w:r>
      <w:r w:rsidRPr="00A13666">
        <w:t>s water supplies.</w:t>
      </w:r>
      <w:r>
        <w:t xml:space="preserve"> </w:t>
      </w:r>
      <w:r w:rsidRPr="00A13666">
        <w:t>Many of the criteria used in these standards are population-based and are appropriate for use in homogeneous reticulated communities such as towns where the principal purpose of the water supply is for drinking.</w:t>
      </w:r>
      <w:r>
        <w:t xml:space="preserve"> </w:t>
      </w:r>
      <w:r w:rsidRPr="00A13666">
        <w:t>However they do not meet the needs of the rural situation where the purpose of the water supply is more heterogeneous.</w:t>
      </w:r>
    </w:p>
    <w:p w14:paraId="041E31FB" w14:textId="77777777" w:rsidR="003741ED" w:rsidRPr="00A13666" w:rsidRDefault="003741ED" w:rsidP="00516A27"/>
    <w:p w14:paraId="041E31FC" w14:textId="77777777" w:rsidR="003741ED" w:rsidRPr="00A13666" w:rsidRDefault="003741ED" w:rsidP="00516A27">
      <w:r w:rsidRPr="00A13666">
        <w:t>In rural communities a large proportion of the water supply may not be intended for drinking.</w:t>
      </w:r>
      <w:r>
        <w:t xml:space="preserve"> </w:t>
      </w:r>
      <w:r w:rsidRPr="00A13666">
        <w:t>The water may be used mainly for irrigation or stock watering.</w:t>
      </w:r>
      <w:r>
        <w:t xml:space="preserve"> </w:t>
      </w:r>
      <w:r w:rsidRPr="00A13666">
        <w:t>Treating all of this water to comply with the drinking-water standards may be pointless and unnecessarily costly.</w:t>
      </w:r>
      <w:r>
        <w:t xml:space="preserve"> </w:t>
      </w:r>
      <w:r w:rsidRPr="00A13666">
        <w:t xml:space="preserve">For this reason it </w:t>
      </w:r>
      <w:r>
        <w:t>was</w:t>
      </w:r>
      <w:r w:rsidRPr="00A13666">
        <w:t xml:space="preserve"> proposed that a Rural Agricultural category</w:t>
      </w:r>
      <w:r>
        <w:t xml:space="preserve"> </w:t>
      </w:r>
      <w:r w:rsidRPr="00A13666">
        <w:t>(RADWS) be developed in which only water intended to be drunk by humans will be required to meet the drinking-water standards.</w:t>
      </w:r>
    </w:p>
    <w:p w14:paraId="041E31FD" w14:textId="77777777" w:rsidR="003741ED" w:rsidRPr="00E66263" w:rsidRDefault="003741ED" w:rsidP="00516A27"/>
    <w:p w14:paraId="041E31FE" w14:textId="77777777" w:rsidR="003741ED" w:rsidRPr="00E66263" w:rsidRDefault="003741ED" w:rsidP="00516A27">
      <w:r w:rsidRPr="00E66263">
        <w:t xml:space="preserve">This became available as </w:t>
      </w:r>
      <w:r w:rsidRPr="00E66263">
        <w:rPr>
          <w:lang w:val="en"/>
        </w:rPr>
        <w:t xml:space="preserve">the </w:t>
      </w:r>
      <w:r w:rsidRPr="00225340">
        <w:rPr>
          <w:i/>
          <w:lang w:val="en"/>
        </w:rPr>
        <w:t>Rural Agricultural Drinking-water Supply Guideline</w:t>
      </w:r>
      <w:r w:rsidRPr="00E66263">
        <w:rPr>
          <w:lang w:val="en"/>
        </w:rPr>
        <w:t xml:space="preserve"> (Ministry of Health 2015)</w:t>
      </w:r>
      <w:r w:rsidRPr="00E66263">
        <w:t>. This is also discussed briefly in Chapter 19.</w:t>
      </w:r>
    </w:p>
    <w:p w14:paraId="041E31FF" w14:textId="77777777" w:rsidR="003741ED" w:rsidRPr="00A13666" w:rsidRDefault="003741ED" w:rsidP="00516A27"/>
    <w:p w14:paraId="041E3200" w14:textId="77777777" w:rsidR="003741ED" w:rsidRPr="00320B23" w:rsidRDefault="003741ED" w:rsidP="00516A27">
      <w:pPr>
        <w:pStyle w:val="Heading3"/>
      </w:pPr>
      <w:bookmarkStart w:id="152" w:name="_Toc362013205"/>
      <w:bookmarkStart w:id="153" w:name="_Toc364704306"/>
      <w:bookmarkStart w:id="154" w:name="_Toc2333444"/>
      <w:bookmarkStart w:id="155" w:name="_Toc8979329"/>
      <w:r>
        <w:t>Point-of-use and point-of-entry drinking-water treatment appliances standards</w:t>
      </w:r>
      <w:bookmarkEnd w:id="152"/>
      <w:bookmarkEnd w:id="153"/>
      <w:bookmarkEnd w:id="154"/>
      <w:bookmarkEnd w:id="155"/>
    </w:p>
    <w:p w14:paraId="041E3201" w14:textId="77777777" w:rsidR="003741ED" w:rsidRPr="00024B34" w:rsidRDefault="003741ED" w:rsidP="00516A27">
      <w:r w:rsidRPr="00024B34">
        <w:t>To facilitate the regulatory control over the performance of point-of-use (POU) and point-of-entry (POE) drinking-water treatment appliances, the documentation of the appliance needs to specify:</w:t>
      </w:r>
    </w:p>
    <w:p w14:paraId="041E3202" w14:textId="77777777" w:rsidR="003741ED" w:rsidRPr="00A13666" w:rsidRDefault="003741ED" w:rsidP="00516A27">
      <w:pPr>
        <w:spacing w:before="90"/>
        <w:ind w:left="567" w:hanging="567"/>
      </w:pPr>
      <w:r>
        <w:t>a)</w:t>
      </w:r>
      <w:r>
        <w:tab/>
        <w:t>w</w:t>
      </w:r>
      <w:r w:rsidRPr="00A13666">
        <w:t>hat contamin</w:t>
      </w:r>
      <w:r>
        <w:t>ants the appliance will control</w:t>
      </w:r>
    </w:p>
    <w:p w14:paraId="041E3203" w14:textId="77777777" w:rsidR="003741ED" w:rsidRPr="00A13666" w:rsidRDefault="003741ED" w:rsidP="00516A27">
      <w:pPr>
        <w:spacing w:before="90"/>
        <w:ind w:left="567" w:hanging="567"/>
      </w:pPr>
      <w:r>
        <w:t>b)</w:t>
      </w:r>
      <w:r>
        <w:tab/>
        <w:t>w</w:t>
      </w:r>
      <w:r w:rsidRPr="00A13666">
        <w:t>hat contaminants</w:t>
      </w:r>
      <w:r>
        <w:t xml:space="preserve"> the appliance will NOT control</w:t>
      </w:r>
    </w:p>
    <w:p w14:paraId="041E3204" w14:textId="77777777" w:rsidR="003741ED" w:rsidRPr="00A13666" w:rsidRDefault="003741ED" w:rsidP="00516A27">
      <w:pPr>
        <w:spacing w:before="90"/>
        <w:ind w:left="567" w:hanging="567"/>
      </w:pPr>
      <w:r>
        <w:t>c)</w:t>
      </w:r>
      <w:r>
        <w:tab/>
        <w:t>p</w:t>
      </w:r>
      <w:r w:rsidRPr="00A13666">
        <w:t>erformance standa</w:t>
      </w:r>
      <w:r>
        <w:t>rds for control of the contaminants of concern</w:t>
      </w:r>
    </w:p>
    <w:p w14:paraId="041E3205" w14:textId="77777777" w:rsidR="003741ED" w:rsidRPr="00A13666" w:rsidRDefault="003741ED" w:rsidP="00516A27">
      <w:pPr>
        <w:spacing w:before="90"/>
        <w:ind w:left="567" w:hanging="567"/>
      </w:pPr>
      <w:r>
        <w:t>d)</w:t>
      </w:r>
      <w:r>
        <w:tab/>
      </w:r>
      <w:r w:rsidRPr="00A13666">
        <w:t>a clear indication of when the appliance is no longer achieving its performance standards.</w:t>
      </w:r>
    </w:p>
    <w:p w14:paraId="041E3206" w14:textId="77777777" w:rsidR="003741ED" w:rsidRPr="00A13666" w:rsidRDefault="003741ED" w:rsidP="00516A27"/>
    <w:p w14:paraId="041E3207" w14:textId="77777777" w:rsidR="003741ED" w:rsidRPr="00A13666" w:rsidRDefault="003741ED" w:rsidP="00516A27">
      <w:r>
        <w:t>There are four</w:t>
      </w:r>
      <w:r w:rsidRPr="00A13666">
        <w:t xml:space="preserve"> relevant international standards that de</w:t>
      </w:r>
      <w:r>
        <w:t>al with POU and POE appliances:</w:t>
      </w:r>
    </w:p>
    <w:p w14:paraId="041E3208" w14:textId="77777777" w:rsidR="003741ED" w:rsidRPr="00A13666" w:rsidRDefault="003741ED" w:rsidP="00516A27">
      <w:pPr>
        <w:spacing w:before="90"/>
        <w:ind w:left="567" w:hanging="567"/>
      </w:pPr>
      <w:r>
        <w:t>1</w:t>
      </w:r>
      <w:r>
        <w:tab/>
      </w:r>
      <w:r w:rsidRPr="00A13666">
        <w:t>AS/NZS 4983:1998 Water supply</w:t>
      </w:r>
      <w:r>
        <w:t xml:space="preserve"> – </w:t>
      </w:r>
      <w:r w:rsidRPr="00A13666">
        <w:t>Domestic type water treatment appliances</w:t>
      </w:r>
      <w:r>
        <w:t xml:space="preserve"> – </w:t>
      </w:r>
      <w:r w:rsidRPr="00A13666">
        <w:t>Performance requirements</w:t>
      </w:r>
    </w:p>
    <w:p w14:paraId="041E3209" w14:textId="77777777" w:rsidR="003741ED" w:rsidRPr="00A13666" w:rsidRDefault="003741ED" w:rsidP="00516A27">
      <w:pPr>
        <w:spacing w:before="90"/>
        <w:ind w:left="567" w:hanging="567"/>
      </w:pPr>
      <w:r>
        <w:t>2</w:t>
      </w:r>
      <w:r>
        <w:tab/>
      </w:r>
      <w:r w:rsidRPr="00A13666">
        <w:t>AS/NZS 3497:1998) Amended Plumbing Requirements for POU and POE applia</w:t>
      </w:r>
      <w:r>
        <w:t>nces</w:t>
      </w:r>
    </w:p>
    <w:p w14:paraId="041E320A" w14:textId="77777777" w:rsidR="003741ED" w:rsidRDefault="003741ED" w:rsidP="00516A27">
      <w:pPr>
        <w:spacing w:before="90"/>
        <w:ind w:left="567" w:hanging="567"/>
      </w:pPr>
      <w:r>
        <w:t>3</w:t>
      </w:r>
      <w:r>
        <w:tab/>
      </w:r>
      <w:r w:rsidRPr="00A13666">
        <w:t>NSF/ANSI</w:t>
      </w:r>
      <w:r>
        <w:t xml:space="preserve"> 53, and</w:t>
      </w:r>
    </w:p>
    <w:p w14:paraId="041E320B" w14:textId="77777777" w:rsidR="003741ED" w:rsidRPr="00A13666" w:rsidRDefault="003741ED" w:rsidP="00516A27">
      <w:pPr>
        <w:spacing w:before="90"/>
        <w:ind w:left="567" w:hanging="567"/>
      </w:pPr>
      <w:r>
        <w:t>4</w:t>
      </w:r>
      <w:r>
        <w:tab/>
      </w:r>
      <w:r w:rsidRPr="00A13666">
        <w:t>NSF/ANSI</w:t>
      </w:r>
      <w:r>
        <w:t xml:space="preserve"> 55.</w:t>
      </w:r>
    </w:p>
    <w:p w14:paraId="041E320C" w14:textId="77777777" w:rsidR="003741ED" w:rsidRDefault="003741ED" w:rsidP="00516A27"/>
    <w:p w14:paraId="041E320D" w14:textId="77777777" w:rsidR="003741ED" w:rsidRDefault="003741ED" w:rsidP="00516A27">
      <w:r w:rsidRPr="00A13666">
        <w:t>Of these standards only AS/NZS 3497:1998 includes the documentation requirements specified above.</w:t>
      </w:r>
    </w:p>
    <w:p w14:paraId="041E320E" w14:textId="77777777" w:rsidR="003741ED" w:rsidRPr="00A13666" w:rsidRDefault="003741ED" w:rsidP="00516A27"/>
    <w:p w14:paraId="041E320F" w14:textId="77777777" w:rsidR="003741ED" w:rsidRPr="00A13666" w:rsidRDefault="003741ED" w:rsidP="00516A27">
      <w:r w:rsidRPr="00A13666">
        <w:t xml:space="preserve">The technical performance specifications of AS/NZS 4983 need to be brought up to the standard of the specifications of NSF/ANSI 53 and NSF/ANSI 55 in order to ensure that the appliance will deliver water that complies with the </w:t>
      </w:r>
      <w:r>
        <w:t>DWSNZ</w:t>
      </w:r>
      <w:r w:rsidRPr="00A13666">
        <w:t>.</w:t>
      </w:r>
    </w:p>
    <w:p w14:paraId="041E3210" w14:textId="77777777" w:rsidR="003741ED" w:rsidRDefault="003741ED" w:rsidP="00516A27"/>
    <w:p w14:paraId="041E3211" w14:textId="77777777" w:rsidR="003741ED" w:rsidRPr="00320B23" w:rsidRDefault="003741ED" w:rsidP="00516A27">
      <w:pPr>
        <w:pStyle w:val="Heading2"/>
      </w:pPr>
      <w:bookmarkStart w:id="156" w:name="_Toc362013206"/>
      <w:bookmarkStart w:id="157" w:name="_Toc364704307"/>
      <w:bookmarkStart w:id="158" w:name="_Toc485635042"/>
      <w:bookmarkStart w:id="159" w:name="_Toc2333445"/>
      <w:bookmarkStart w:id="160" w:name="_Toc8979330"/>
      <w:r w:rsidRPr="00320B23">
        <w:t>T</w:t>
      </w:r>
      <w:r>
        <w:t>ools for promoting potable drinking-water supplies</w:t>
      </w:r>
      <w:bookmarkEnd w:id="156"/>
      <w:bookmarkEnd w:id="157"/>
      <w:bookmarkEnd w:id="158"/>
      <w:bookmarkEnd w:id="159"/>
      <w:bookmarkEnd w:id="160"/>
    </w:p>
    <w:p w14:paraId="041E3212" w14:textId="77777777" w:rsidR="003741ED" w:rsidRPr="00320B23" w:rsidRDefault="003741ED" w:rsidP="00516A27">
      <w:pPr>
        <w:pStyle w:val="Heading3"/>
      </w:pPr>
      <w:bookmarkStart w:id="161" w:name="_Toc362013207"/>
      <w:bookmarkStart w:id="162" w:name="_Toc364704308"/>
      <w:bookmarkStart w:id="163" w:name="_Toc2333446"/>
      <w:bookmarkStart w:id="164" w:name="_Toc8979331"/>
      <w:r w:rsidRPr="00320B23">
        <w:t>I</w:t>
      </w:r>
      <w:r>
        <w:t>ntroduction</w:t>
      </w:r>
      <w:bookmarkEnd w:id="161"/>
      <w:bookmarkEnd w:id="162"/>
      <w:bookmarkEnd w:id="163"/>
      <w:bookmarkEnd w:id="164"/>
    </w:p>
    <w:p w14:paraId="041E3213" w14:textId="77777777" w:rsidR="003741ED" w:rsidRPr="00A13666" w:rsidRDefault="003741ED" w:rsidP="00516A27">
      <w:r w:rsidRPr="00A13666">
        <w:t xml:space="preserve">From 1992 </w:t>
      </w:r>
      <w:r>
        <w:t>to</w:t>
      </w:r>
      <w:r w:rsidRPr="00A13666">
        <w:t xml:space="preserve"> 1996 the Ministry of Health developed an integrated set of tools for improving drinking-water quality to protect public health.</w:t>
      </w:r>
      <w:r>
        <w:t xml:space="preserve"> </w:t>
      </w:r>
      <w:r w:rsidRPr="00A13666">
        <w:t>These tools were designed in such a way that they reinforce one another in use and included the:</w:t>
      </w:r>
    </w:p>
    <w:p w14:paraId="041E3214" w14:textId="77777777" w:rsidR="003741ED" w:rsidRPr="00A13666" w:rsidRDefault="003741ED" w:rsidP="00516A27">
      <w:pPr>
        <w:pStyle w:val="Bullet"/>
      </w:pPr>
      <w:r w:rsidRPr="00A13666">
        <w:t>public health grading of community drinking-water supplies</w:t>
      </w:r>
    </w:p>
    <w:p w14:paraId="041E3215" w14:textId="77777777" w:rsidR="003741ED" w:rsidRPr="00A13666" w:rsidRDefault="003741ED" w:rsidP="00516A27">
      <w:pPr>
        <w:pStyle w:val="Bullet"/>
      </w:pPr>
      <w:r w:rsidRPr="00A13666">
        <w:t xml:space="preserve">the 1995 </w:t>
      </w:r>
      <w:r w:rsidRPr="004E2F49">
        <w:rPr>
          <w:i/>
        </w:rPr>
        <w:t>Drinking-water Standards for New Zealand</w:t>
      </w:r>
    </w:p>
    <w:p w14:paraId="041E3216" w14:textId="77777777" w:rsidR="003741ED" w:rsidRPr="00A13666" w:rsidRDefault="003741ED" w:rsidP="00516A27">
      <w:pPr>
        <w:pStyle w:val="Bullet"/>
      </w:pPr>
      <w:r w:rsidRPr="00A13666">
        <w:t xml:space="preserve">development of national drinking-water databases, </w:t>
      </w:r>
      <w:r>
        <w:t xml:space="preserve">eg, </w:t>
      </w:r>
      <w:r w:rsidRPr="00A13666">
        <w:t>WINZ</w:t>
      </w:r>
    </w:p>
    <w:p w14:paraId="041E3217" w14:textId="77777777" w:rsidR="003741ED" w:rsidRDefault="003741ED" w:rsidP="00516A27">
      <w:pPr>
        <w:pStyle w:val="Bullet"/>
      </w:pPr>
      <w:r w:rsidRPr="00A13666">
        <w:t>and publication of:</w:t>
      </w:r>
    </w:p>
    <w:p w14:paraId="041E3218" w14:textId="77777777" w:rsidR="003741ED" w:rsidRPr="00516A27" w:rsidRDefault="003741ED" w:rsidP="00516A27">
      <w:pPr>
        <w:pStyle w:val="Dash"/>
        <w:rPr>
          <w:i/>
        </w:rPr>
      </w:pPr>
      <w:r w:rsidRPr="00516A27">
        <w:rPr>
          <w:i/>
        </w:rPr>
        <w:t>Register of Community Drinking-water Supplies in New Zealand</w:t>
      </w:r>
    </w:p>
    <w:p w14:paraId="041E3219" w14:textId="77777777" w:rsidR="003741ED" w:rsidRPr="00516A27" w:rsidRDefault="003741ED" w:rsidP="00516A27">
      <w:pPr>
        <w:pStyle w:val="Dash"/>
        <w:rPr>
          <w:i/>
        </w:rPr>
      </w:pPr>
      <w:r w:rsidRPr="00516A27">
        <w:rPr>
          <w:i/>
        </w:rPr>
        <w:t>Guidelines for Drinking-water Quality Management in New Zealand</w:t>
      </w:r>
    </w:p>
    <w:p w14:paraId="041E321A" w14:textId="77777777" w:rsidR="003741ED" w:rsidRPr="00A13666" w:rsidRDefault="003741ED" w:rsidP="00516A27">
      <w:pPr>
        <w:pStyle w:val="Dash"/>
      </w:pPr>
      <w:r w:rsidRPr="00516A27">
        <w:rPr>
          <w:i/>
        </w:rPr>
        <w:t>Annual Reports on Quality of Drinking-water in New Zealand</w:t>
      </w:r>
      <w:r w:rsidRPr="00A13666">
        <w:t>.</w:t>
      </w:r>
    </w:p>
    <w:p w14:paraId="041E321B" w14:textId="77777777" w:rsidR="003741ED" w:rsidRPr="00A13666" w:rsidRDefault="003741ED" w:rsidP="00516A27"/>
    <w:p w14:paraId="041E321C" w14:textId="77777777" w:rsidR="003741ED" w:rsidRPr="00A13666" w:rsidRDefault="003741ED" w:rsidP="00516A27">
      <w:r w:rsidRPr="00A13666">
        <w:t>Subsequently, the following new tools have been added:</w:t>
      </w:r>
    </w:p>
    <w:p w14:paraId="041E321D" w14:textId="77777777" w:rsidR="003741ED" w:rsidRPr="00A13666" w:rsidRDefault="003741ED" w:rsidP="00516A27">
      <w:pPr>
        <w:pStyle w:val="Bullet"/>
      </w:pPr>
      <w:r w:rsidRPr="00A13666">
        <w:t xml:space="preserve">the introduction of </w:t>
      </w:r>
      <w:r>
        <w:t>water safety</w:t>
      </w:r>
      <w:r w:rsidRPr="00A13666">
        <w:t xml:space="preserve"> plans</w:t>
      </w:r>
    </w:p>
    <w:p w14:paraId="041E321E" w14:textId="77777777" w:rsidR="003741ED" w:rsidRPr="00A13666" w:rsidRDefault="003741ED" w:rsidP="00516A27">
      <w:pPr>
        <w:pStyle w:val="Bullet"/>
      </w:pPr>
      <w:r w:rsidRPr="00A13666">
        <w:t>the introduction of drinking-water assessment and the training of personnel for this</w:t>
      </w:r>
    </w:p>
    <w:p w14:paraId="041E321F" w14:textId="77777777" w:rsidR="003741ED" w:rsidRPr="00A13666" w:rsidRDefault="003741ED" w:rsidP="00516A27">
      <w:pPr>
        <w:pStyle w:val="Bullet"/>
      </w:pPr>
      <w:r w:rsidRPr="00A13666">
        <w:t xml:space="preserve">publication of the </w:t>
      </w:r>
      <w:r w:rsidRPr="004E2F49">
        <w:rPr>
          <w:i/>
        </w:rPr>
        <w:t>Register of Recognised Laboratories</w:t>
      </w:r>
    </w:p>
    <w:p w14:paraId="041E3220" w14:textId="77777777" w:rsidR="003741ED" w:rsidRPr="00A13666" w:rsidRDefault="003741ED" w:rsidP="00516A27">
      <w:pPr>
        <w:pStyle w:val="Bullet"/>
      </w:pPr>
      <w:r w:rsidRPr="00A13666">
        <w:t xml:space="preserve">publication of </w:t>
      </w:r>
      <w:r>
        <w:t xml:space="preserve">the </w:t>
      </w:r>
      <w:r w:rsidRPr="004E2F49">
        <w:rPr>
          <w:i/>
        </w:rPr>
        <w:t>Register of Drinking-water Assessors</w:t>
      </w:r>
      <w:r>
        <w:t>.</w:t>
      </w:r>
    </w:p>
    <w:p w14:paraId="041E3221" w14:textId="77777777" w:rsidR="003741ED" w:rsidRPr="00A13666" w:rsidRDefault="003741ED" w:rsidP="00516A27"/>
    <w:p w14:paraId="041E3222" w14:textId="77777777" w:rsidR="003741ED" w:rsidRPr="00A13666" w:rsidRDefault="003741ED" w:rsidP="00516A27">
      <w:r w:rsidRPr="00A13666">
        <w:t xml:space="preserve">Several of these tools have been updated since 2000, </w:t>
      </w:r>
      <w:r>
        <w:t xml:space="preserve">eg, </w:t>
      </w:r>
      <w:r w:rsidRPr="00A13666">
        <w:t>the DWSNZ, the Guidelines, the Grading, and the WINZ software</w:t>
      </w:r>
      <w:r>
        <w:t xml:space="preserve"> (now called Drinking-water Online)</w:t>
      </w:r>
      <w:r w:rsidRPr="00A13666">
        <w:t>.</w:t>
      </w:r>
    </w:p>
    <w:p w14:paraId="041E3223" w14:textId="77777777" w:rsidR="003741ED" w:rsidRPr="00A13666" w:rsidRDefault="003741ED" w:rsidP="00516A27"/>
    <w:p w14:paraId="041E3224" w14:textId="77777777" w:rsidR="003741ED" w:rsidRPr="00A13666" w:rsidRDefault="003741ED" w:rsidP="00516A27">
      <w:r w:rsidRPr="00A13666">
        <w:t>The tools are designed to promote maximum interaction and mutual support between the various stakeholders, the public, the media, the drinking-water supplier, and the drinking-water assessor.</w:t>
      </w:r>
      <w:r>
        <w:t xml:space="preserve"> </w:t>
      </w:r>
      <w:r w:rsidRPr="00A13666">
        <w:t>Emphasis is on using risk management planning techniques to promote a quality assurance approach.</w:t>
      </w:r>
      <w:r>
        <w:t xml:space="preserve"> </w:t>
      </w:r>
      <w:r w:rsidRPr="00A13666">
        <w:t>This is complemented by a monitoring programme used as a final quality control that also acts as a feedback loop and provides a trigger for remedial action where this is necessary.</w:t>
      </w:r>
    </w:p>
    <w:p w14:paraId="041E3225" w14:textId="77777777" w:rsidR="003741ED" w:rsidRPr="00A13666" w:rsidRDefault="003741ED" w:rsidP="00516A27"/>
    <w:p w14:paraId="041E3226" w14:textId="77777777" w:rsidR="003741ED" w:rsidRDefault="003741ED" w:rsidP="00516A27">
      <w:r w:rsidRPr="00A13666">
        <w:t xml:space="preserve">A description of the tools </w:t>
      </w:r>
      <w:r>
        <w:t xml:space="preserve">used by the Ministry of Health, </w:t>
      </w:r>
      <w:r w:rsidRPr="00A13666">
        <w:t>and the way they interact</w:t>
      </w:r>
      <w:r>
        <w:t>,</w:t>
      </w:r>
      <w:r w:rsidRPr="00A13666">
        <w:t xml:space="preserve"> follows</w:t>
      </w:r>
      <w:r>
        <w:t xml:space="preserve"> in sections 1.6.4 to 1.6.</w:t>
      </w:r>
      <w:r w:rsidRPr="001607A9">
        <w:t>1</w:t>
      </w:r>
      <w:r>
        <w:t>5</w:t>
      </w:r>
      <w:r w:rsidRPr="00A13666">
        <w:t>.</w:t>
      </w:r>
    </w:p>
    <w:p w14:paraId="041E3227" w14:textId="77777777" w:rsidR="003741ED" w:rsidRDefault="003741ED" w:rsidP="00516A27"/>
    <w:p w14:paraId="041E3228" w14:textId="77777777" w:rsidR="003741ED" w:rsidRDefault="003741ED" w:rsidP="00516A27">
      <w:pPr>
        <w:pStyle w:val="Heading3"/>
      </w:pPr>
      <w:bookmarkStart w:id="165" w:name="_Toc2333447"/>
      <w:bookmarkStart w:id="166" w:name="_Toc8979332"/>
      <w:r>
        <w:t>Four tools used by the World Health Organization</w:t>
      </w:r>
      <w:bookmarkEnd w:id="165"/>
      <w:bookmarkEnd w:id="166"/>
    </w:p>
    <w:p w14:paraId="041E3229" w14:textId="77777777" w:rsidR="003741ED" w:rsidRDefault="003741ED" w:rsidP="00516A27">
      <w:r>
        <w:t>The World Health Organization uses four approaches when considering health-based targets.</w:t>
      </w:r>
    </w:p>
    <w:p w14:paraId="041E322A" w14:textId="77777777" w:rsidR="003741ED" w:rsidRPr="00967933" w:rsidRDefault="003741ED" w:rsidP="00516A27">
      <w:pPr>
        <w:spacing w:before="120"/>
        <w:ind w:left="567" w:hanging="567"/>
      </w:pPr>
      <w:r>
        <w:t>1</w:t>
      </w:r>
      <w:r>
        <w:tab/>
      </w:r>
      <w:r w:rsidRPr="00967933">
        <w:t>The tolerable burden of disease. This is called disability-adjusted life years (DALYs) which can be used to quantify and compare the burden of disease associated with different water-related hazards, taking into account varying probabilities, severities and duration of effects, regardless of the type of hazard (microbial, chemical or radiological) to enable the use of a consistent approach for each hazard. WHO has used DALYs to evaluate public health priorities and to assess the disease burden associated with environmental exposures, particularly for microbial hazards. The tolerable burden of disease is defined as an upper limit of 10</w:t>
      </w:r>
      <w:r w:rsidRPr="00967933">
        <w:rPr>
          <w:vertAlign w:val="superscript"/>
        </w:rPr>
        <w:t>−6</w:t>
      </w:r>
      <w:r w:rsidRPr="00967933">
        <w:t xml:space="preserve"> DALY </w:t>
      </w:r>
      <w:r>
        <w:t xml:space="preserve">(µDALY) </w:t>
      </w:r>
      <w:r w:rsidRPr="00967933">
        <w:t>per person per year. This upper-limit DALY approximate</w:t>
      </w:r>
      <w:r>
        <w:t>s</w:t>
      </w:r>
      <w:r w:rsidRPr="00967933">
        <w:t xml:space="preserve"> a 10</w:t>
      </w:r>
      <w:r w:rsidRPr="00967933">
        <w:rPr>
          <w:vertAlign w:val="superscript"/>
        </w:rPr>
        <w:t>−5</w:t>
      </w:r>
      <w:r w:rsidRPr="00967933">
        <w:t xml:space="preserve"> excess lifetime risk of cancer (ie</w:t>
      </w:r>
      <w:r>
        <w:t>,</w:t>
      </w:r>
      <w:r w:rsidRPr="00967933">
        <w:t xml:space="preserve"> 1 excess case of cancer per 100 000 people ingesting drinking-water at the water quality target daily over a 70-year period), which is the risk level</w:t>
      </w:r>
      <w:r>
        <w:t xml:space="preserve"> WHO</w:t>
      </w:r>
      <w:r w:rsidRPr="00967933">
        <w:t xml:space="preserve"> use</w:t>
      </w:r>
      <w:r>
        <w:t>s</w:t>
      </w:r>
      <w:r w:rsidRPr="00967933">
        <w:t xml:space="preserve"> to determine guideline values for genotoxic carcinogens.</w:t>
      </w:r>
      <w:r>
        <w:t xml:space="preserve"> See section 3 in WHO 2017 for further information.</w:t>
      </w:r>
    </w:p>
    <w:p w14:paraId="041E322B" w14:textId="77777777" w:rsidR="003741ED" w:rsidRPr="00967933" w:rsidRDefault="003741ED" w:rsidP="00516A27">
      <w:pPr>
        <w:spacing w:before="120"/>
        <w:ind w:left="567" w:hanging="567"/>
      </w:pPr>
      <w:r>
        <w:t>2</w:t>
      </w:r>
      <w:r>
        <w:tab/>
      </w:r>
      <w:r w:rsidRPr="00967933">
        <w:t xml:space="preserve">Guidelines values. </w:t>
      </w:r>
      <w:r>
        <w:t>Guideline values for chemicals</w:t>
      </w:r>
      <w:r w:rsidRPr="00967933">
        <w:t xml:space="preserve"> are based on individual chemical risk assessments</w:t>
      </w:r>
      <w:r>
        <w:t>.</w:t>
      </w:r>
      <w:r w:rsidRPr="00967933">
        <w:t xml:space="preserve"> </w:t>
      </w:r>
      <w:r>
        <w:t>These</w:t>
      </w:r>
      <w:r w:rsidRPr="00967933">
        <w:t xml:space="preserve"> are called maximum acceptable values (MAVs) in the DWSNZ.</w:t>
      </w:r>
    </w:p>
    <w:p w14:paraId="041E322C" w14:textId="77777777" w:rsidR="003741ED" w:rsidRDefault="003741ED" w:rsidP="00516A27">
      <w:pPr>
        <w:spacing w:before="120"/>
        <w:ind w:left="567" w:hanging="567"/>
      </w:pPr>
      <w:r>
        <w:t>3</w:t>
      </w:r>
      <w:r>
        <w:tab/>
        <w:t>Specified removal of hazards. These are usually expressed as log reductions. This approach has been adopted in the DWSNZ for protozoa.</w:t>
      </w:r>
    </w:p>
    <w:p w14:paraId="041E322D" w14:textId="77777777" w:rsidR="003741ED" w:rsidRPr="00A13666" w:rsidRDefault="003741ED" w:rsidP="00516A27">
      <w:pPr>
        <w:spacing w:before="120"/>
        <w:ind w:left="567" w:hanging="567"/>
      </w:pPr>
      <w:r>
        <w:t>4</w:t>
      </w:r>
      <w:r>
        <w:tab/>
        <w:t>Defined technologies. This usually involves use of validated treatment equipment such as UV disinfection, membrane and cartridge filtration.</w:t>
      </w:r>
    </w:p>
    <w:p w14:paraId="041E322E" w14:textId="77777777" w:rsidR="003741ED" w:rsidRDefault="003741ED" w:rsidP="00516A27"/>
    <w:p w14:paraId="041E322F" w14:textId="77777777" w:rsidR="003741ED" w:rsidRDefault="003741ED" w:rsidP="00516A27">
      <w:pPr>
        <w:pStyle w:val="Heading3"/>
      </w:pPr>
      <w:bookmarkStart w:id="167" w:name="_Toc2333448"/>
      <w:bookmarkStart w:id="168" w:name="_Toc8979333"/>
      <w:r>
        <w:t>The six guiding principles of drinking-water safety</w:t>
      </w:r>
      <w:bookmarkEnd w:id="167"/>
      <w:bookmarkEnd w:id="168"/>
    </w:p>
    <w:p w14:paraId="041E3230" w14:textId="77777777" w:rsidR="003741ED" w:rsidRDefault="003741ED" w:rsidP="00516A27">
      <w:r w:rsidRPr="00560F10">
        <w:t xml:space="preserve">The Australian Drinking-water Guidelines incorporate six well-established principles for </w:t>
      </w:r>
      <w:r>
        <w:t>potable</w:t>
      </w:r>
      <w:r w:rsidRPr="00560F10">
        <w:t xml:space="preserve"> drinking water. The principles were developed in 2001 by a working group comprising the World Health Organisation microbial pathogens expert group and the Medical Research Council of Australia.</w:t>
      </w:r>
    </w:p>
    <w:p w14:paraId="041E3231" w14:textId="77777777" w:rsidR="00516A27" w:rsidRPr="00560F10" w:rsidRDefault="00516A27" w:rsidP="00516A27"/>
    <w:p w14:paraId="041E3232" w14:textId="77777777" w:rsidR="003741ED" w:rsidRPr="00560F10" w:rsidRDefault="003741ED" w:rsidP="00516A27">
      <w:pPr>
        <w:pStyle w:val="Heading4-nonumbering"/>
        <w:rPr>
          <w:lang w:eastAsia="en-NZ"/>
        </w:rPr>
      </w:pPr>
      <w:r w:rsidRPr="00560F10">
        <w:rPr>
          <w:lang w:eastAsia="en-NZ"/>
        </w:rPr>
        <w:t>Principle 1: A high standard of care must be embraced</w:t>
      </w:r>
    </w:p>
    <w:p w14:paraId="041E3233" w14:textId="77777777" w:rsidR="003741ED" w:rsidRDefault="003741ED" w:rsidP="00516A27">
      <w:r w:rsidRPr="00560F10">
        <w:t>Unsafe drinking water can cause illness, injury or death on a large-scale. All those involved in supplying drinking water (from operators to politically elected representatives) must therefore embrace a high standard of care akin to that applied in the fields of medicine and aviation where the consequences of a failure are similarly detrimental to public health and safety. Vigilance, diligence and competence are minimum requirement</w:t>
      </w:r>
      <w:r>
        <w:t>s and complacency has no place.</w:t>
      </w:r>
    </w:p>
    <w:p w14:paraId="041E3234" w14:textId="77777777" w:rsidR="00516A27" w:rsidRDefault="00516A27" w:rsidP="00516A27"/>
    <w:p w14:paraId="041E3235" w14:textId="77777777" w:rsidR="003741ED" w:rsidRDefault="003741ED" w:rsidP="00516A27">
      <w:pPr>
        <w:pStyle w:val="Heading4-nonumbering"/>
        <w:rPr>
          <w:lang w:eastAsia="en-NZ"/>
        </w:rPr>
      </w:pPr>
      <w:r w:rsidRPr="00560F10">
        <w:rPr>
          <w:lang w:eastAsia="en-NZ"/>
        </w:rPr>
        <w:t>Principle 2: Protection of source water is of paramount importance</w:t>
      </w:r>
    </w:p>
    <w:p w14:paraId="041E3236" w14:textId="77777777" w:rsidR="003741ED" w:rsidRDefault="003741ED" w:rsidP="00516A27">
      <w:r w:rsidRPr="00560F10">
        <w:t>Protection of the source of drinking water provides the first, and most significant, barrier against drinking water contamination and illness. It is of paramount importance that risks to sources of drinking water are understood, managed and addressed appropriately. However, as pathogenic microorganisms are found everywhere, complete protection is impossible and further barriers a</w:t>
      </w:r>
      <w:r>
        <w:t>gainst contamination are vital.</w:t>
      </w:r>
    </w:p>
    <w:p w14:paraId="041E3237" w14:textId="77777777" w:rsidR="00516A27" w:rsidRPr="00560F10" w:rsidRDefault="00516A27" w:rsidP="00516A27"/>
    <w:p w14:paraId="041E3238" w14:textId="77777777" w:rsidR="003741ED" w:rsidRDefault="003741ED" w:rsidP="00516A27">
      <w:pPr>
        <w:pStyle w:val="Heading4-nonumbering"/>
        <w:rPr>
          <w:lang w:eastAsia="en-NZ"/>
        </w:rPr>
      </w:pPr>
      <w:r w:rsidRPr="00560F10">
        <w:rPr>
          <w:lang w:eastAsia="en-NZ"/>
        </w:rPr>
        <w:t>Principle 3: Maintain multiple barriers against contamination</w:t>
      </w:r>
    </w:p>
    <w:p w14:paraId="041E3239" w14:textId="77777777" w:rsidR="003741ED" w:rsidRPr="005959EC" w:rsidRDefault="003741ED" w:rsidP="005959EC">
      <w:pPr>
        <w:ind w:right="-142"/>
        <w:rPr>
          <w:spacing w:val="-2"/>
        </w:rPr>
      </w:pPr>
      <w:r w:rsidRPr="005959EC">
        <w:rPr>
          <w:spacing w:val="-2"/>
        </w:rPr>
        <w:t>Any drinking water system must have, and continuously maintain, robust multiple barriers against contamination appropriate to the level of potential contamination. This is because no single barrier is effective against all sources of contamination and any barrier can fail at any time. Barriers with appropriate capabilities are needed at each of the following levels: source protection; effective treatment; secure distribution; effective monitoring; and effective responses to adverse signals. A “source to tap” approach is required.</w:t>
      </w:r>
    </w:p>
    <w:p w14:paraId="041E323A" w14:textId="77777777" w:rsidR="00516A27" w:rsidRPr="00B07FD9" w:rsidRDefault="00516A27" w:rsidP="00516A27"/>
    <w:p w14:paraId="041E323B" w14:textId="77777777" w:rsidR="003741ED" w:rsidRDefault="003741ED" w:rsidP="00516A27">
      <w:pPr>
        <w:pStyle w:val="Heading4-nonumbering"/>
        <w:rPr>
          <w:lang w:eastAsia="en-NZ"/>
        </w:rPr>
      </w:pPr>
      <w:r w:rsidRPr="00560F10">
        <w:rPr>
          <w:lang w:eastAsia="en-NZ"/>
        </w:rPr>
        <w:t>Principle 4: Change precedes contamination</w:t>
      </w:r>
    </w:p>
    <w:p w14:paraId="041E323C" w14:textId="77777777" w:rsidR="003741ED" w:rsidRDefault="003741ED" w:rsidP="00516A27">
      <w:r w:rsidRPr="00560F10">
        <w:t>Contamination is almost always preceded by some kind of change and change must never be ignored. Sudden or extreme changes in water quality, flow or environmental conditions (for example, heavy rainfall, flooding, earthquakes) should arouse particular suspicion that drinking water might become contaminated. Change of any kind (for example, personnel, governance, equipment) should be monitored and responded to with due diligence.</w:t>
      </w:r>
    </w:p>
    <w:p w14:paraId="041E323D" w14:textId="77777777" w:rsidR="00516A27" w:rsidRPr="00560F10" w:rsidRDefault="00516A27" w:rsidP="00516A27"/>
    <w:p w14:paraId="041E323E" w14:textId="77777777" w:rsidR="003741ED" w:rsidRDefault="003741ED" w:rsidP="00516A27">
      <w:pPr>
        <w:pStyle w:val="Heading4-nonumbering"/>
        <w:rPr>
          <w:lang w:eastAsia="en-NZ"/>
        </w:rPr>
      </w:pPr>
      <w:r w:rsidRPr="00560F10">
        <w:rPr>
          <w:lang w:eastAsia="en-NZ"/>
        </w:rPr>
        <w:t>Principle 5: Suppliers must own the safety of drinking water</w:t>
      </w:r>
    </w:p>
    <w:p w14:paraId="041E323F" w14:textId="77777777" w:rsidR="003741ED" w:rsidRPr="005959EC" w:rsidRDefault="003741ED" w:rsidP="005959EC">
      <w:pPr>
        <w:ind w:right="-142"/>
        <w:rPr>
          <w:spacing w:val="-2"/>
        </w:rPr>
      </w:pPr>
      <w:r w:rsidRPr="005959EC">
        <w:rPr>
          <w:spacing w:val="-2"/>
        </w:rPr>
        <w:t>Drinking water suppliers must maintain a personal sense of responsibility and dedication to providing consumers with potable water. Knowledgeable, experienced, committed and responsive personnel provide the best assurance of potable drinking water. The personnel, and drinking water supply system, must be able to respond quickly and effectively to adverse monitoring signals. This requires commitment from the highest level of the organisation and accountability by all those with responsibility for drinking water.</w:t>
      </w:r>
    </w:p>
    <w:p w14:paraId="041E3240" w14:textId="77777777" w:rsidR="00516A27" w:rsidRPr="00560F10" w:rsidRDefault="00516A27" w:rsidP="00516A27"/>
    <w:p w14:paraId="041E3241" w14:textId="77777777" w:rsidR="003741ED" w:rsidRDefault="003741ED" w:rsidP="00516A27">
      <w:pPr>
        <w:pStyle w:val="Heading4-nonumbering"/>
        <w:rPr>
          <w:lang w:eastAsia="en-NZ"/>
        </w:rPr>
      </w:pPr>
      <w:r w:rsidRPr="00560F10">
        <w:rPr>
          <w:lang w:eastAsia="en-NZ"/>
        </w:rPr>
        <w:t>Principle 6: Apply a preventive risk management approach</w:t>
      </w:r>
    </w:p>
    <w:p w14:paraId="041E3242" w14:textId="77777777" w:rsidR="003741ED" w:rsidRDefault="003741ED" w:rsidP="00516A27">
      <w:r w:rsidRPr="00560F10">
        <w:t>A preventive risk management approach provides the best protection against waterborne illness. Once contamination is detected, contaminated water may already have been consumed and illness may already have occurred. Accordingly, the focus must always be on preventing contamination. This requires systematic assessment of risks throughout a drinking water supply from source to tap; identification of ways these risks can be managed; and control measures implemented to ensure that management is occurring properly. Adequate monitoring of the performance of each barrier is essential. Each supplier</w:t>
      </w:r>
      <w:r>
        <w:t>’</w:t>
      </w:r>
      <w:r w:rsidRPr="00560F10">
        <w:t>s risk management approach should be recorded in a living WSP which is utilised on a day to day basis.</w:t>
      </w:r>
    </w:p>
    <w:p w14:paraId="041E3243" w14:textId="77777777" w:rsidR="003741ED" w:rsidRPr="00560F10" w:rsidRDefault="003741ED" w:rsidP="00516A27"/>
    <w:p w14:paraId="041E3244" w14:textId="77777777" w:rsidR="003741ED" w:rsidRPr="00320B23" w:rsidRDefault="003741ED" w:rsidP="00516A27">
      <w:pPr>
        <w:pStyle w:val="Heading3"/>
      </w:pPr>
      <w:bookmarkStart w:id="169" w:name="_Toc362013208"/>
      <w:bookmarkStart w:id="170" w:name="_Toc364704309"/>
      <w:bookmarkStart w:id="171" w:name="_Toc2333449"/>
      <w:bookmarkStart w:id="172" w:name="_Toc8979334"/>
      <w:r w:rsidRPr="00320B23">
        <w:t>D</w:t>
      </w:r>
      <w:r>
        <w:t>rinking-water Standards for New Zealand</w:t>
      </w:r>
      <w:bookmarkEnd w:id="169"/>
      <w:bookmarkEnd w:id="170"/>
      <w:bookmarkEnd w:id="171"/>
      <w:bookmarkEnd w:id="172"/>
    </w:p>
    <w:p w14:paraId="041E3245" w14:textId="77777777" w:rsidR="003741ED" w:rsidRPr="00560F10" w:rsidRDefault="003741ED" w:rsidP="00516A27">
      <w:r>
        <w:t>WHO (2017) considers t</w:t>
      </w:r>
      <w:r w:rsidRPr="00560F10">
        <w:t>he functions of surveillance and</w:t>
      </w:r>
      <w:r>
        <w:t xml:space="preserve"> </w:t>
      </w:r>
      <w:r w:rsidRPr="00560F10">
        <w:t>quality control are best performed by separate and independent entities because of the</w:t>
      </w:r>
      <w:r>
        <w:t xml:space="preserve"> </w:t>
      </w:r>
      <w:r w:rsidRPr="00560F10">
        <w:t>conflict of interest that arises when the two are combined. In this:</w:t>
      </w:r>
    </w:p>
    <w:p w14:paraId="041E3246" w14:textId="77777777" w:rsidR="003741ED" w:rsidRDefault="003741ED" w:rsidP="00516A27">
      <w:pPr>
        <w:pStyle w:val="Bullet"/>
      </w:pPr>
      <w:r w:rsidRPr="00560F10">
        <w:t>national agencies provide a framework of targets, standards and legislation to</w:t>
      </w:r>
      <w:r>
        <w:t xml:space="preserve"> </w:t>
      </w:r>
      <w:r w:rsidRPr="00560F10">
        <w:t>enable and require supplie</w:t>
      </w:r>
      <w:r>
        <w:t>rs to meet defined obligations</w:t>
      </w:r>
    </w:p>
    <w:p w14:paraId="041E3247" w14:textId="77777777" w:rsidR="003741ED" w:rsidRDefault="003741ED" w:rsidP="00516A27">
      <w:pPr>
        <w:pStyle w:val="Bullet"/>
      </w:pPr>
      <w:r w:rsidRPr="00560F10">
        <w:t>agencies involved in supplying water for consumption by any means should be</w:t>
      </w:r>
      <w:r>
        <w:t xml:space="preserve"> </w:t>
      </w:r>
      <w:r w:rsidRPr="00560F10">
        <w:t>required to ensure and verify that the systems they administer are capable of</w:t>
      </w:r>
      <w:r>
        <w:t xml:space="preserve"> </w:t>
      </w:r>
      <w:r w:rsidRPr="00560F10">
        <w:t xml:space="preserve">delivering </w:t>
      </w:r>
      <w:r>
        <w:t>potable</w:t>
      </w:r>
      <w:r w:rsidRPr="00560F10">
        <w:t xml:space="preserve"> water and th</w:t>
      </w:r>
      <w:r>
        <w:t>at they routinely achieve this</w:t>
      </w:r>
    </w:p>
    <w:p w14:paraId="041E3248" w14:textId="77777777" w:rsidR="003741ED" w:rsidRDefault="003741ED" w:rsidP="00516A27">
      <w:pPr>
        <w:pStyle w:val="Bullet"/>
      </w:pPr>
      <w:r w:rsidRPr="00560F10">
        <w:t>a surveillance agency is responsible for independent (external) surveillance</w:t>
      </w:r>
      <w:r>
        <w:t xml:space="preserve"> </w:t>
      </w:r>
      <w:r w:rsidRPr="00560F10">
        <w:t>through periodic audit of all aspects of safety and/or verification testing.</w:t>
      </w:r>
    </w:p>
    <w:p w14:paraId="041E3249" w14:textId="77777777" w:rsidR="003741ED" w:rsidRDefault="003741ED" w:rsidP="00516A27"/>
    <w:p w14:paraId="041E324A" w14:textId="77777777" w:rsidR="003741ED" w:rsidRPr="00560F10" w:rsidRDefault="003741ED" w:rsidP="00516A27">
      <w:r w:rsidRPr="001F52BB">
        <w:t xml:space="preserve">The DWSNZ </w:t>
      </w:r>
      <w:r>
        <w:t>in 1995, 2000, 2005 and 2008 were</w:t>
      </w:r>
      <w:r w:rsidRPr="001F52BB">
        <w:t xml:space="preserve"> based on the following principles.</w:t>
      </w:r>
    </w:p>
    <w:p w14:paraId="041E324B" w14:textId="77777777" w:rsidR="003741ED" w:rsidRPr="00560F10" w:rsidRDefault="003741ED" w:rsidP="00516A27">
      <w:pPr>
        <w:pStyle w:val="Number"/>
      </w:pPr>
      <w:r w:rsidRPr="00560F10">
        <w:t>The DWSNZ deﬁne the maximum concentrations of chemicals of health signiﬁcance (MAVs) in water that, based on current knowledge, constitute no signiﬁcant risk to the health of a person who consumes 2 L of that water a day over their lifetime (usually taken as 70 years).</w:t>
      </w:r>
    </w:p>
    <w:p w14:paraId="041E324C" w14:textId="77777777" w:rsidR="003741ED" w:rsidRPr="00560F10" w:rsidRDefault="003741ED" w:rsidP="00516A27">
      <w:pPr>
        <w:spacing w:before="90"/>
        <w:ind w:left="567"/>
      </w:pPr>
      <w:r w:rsidRPr="00560F10">
        <w:rPr>
          <w:b/>
        </w:rPr>
        <w:t>Potable water</w:t>
      </w:r>
      <w:r w:rsidRPr="00560F10">
        <w:t xml:space="preserve"> is drinking-water that does not contain or exhibit any determinand to any extent that exceeds the MAVs speciﬁed in the DWSNZ (see the deﬁnition of </w:t>
      </w:r>
      <w:r>
        <w:t>‘</w:t>
      </w:r>
      <w:r w:rsidRPr="00560F10">
        <w:t>potable</w:t>
      </w:r>
      <w:r>
        <w:t>’</w:t>
      </w:r>
      <w:r w:rsidRPr="00560F10">
        <w:t xml:space="preserve"> in section 69G of the Act.</w:t>
      </w:r>
    </w:p>
    <w:p w14:paraId="041E324D" w14:textId="77777777" w:rsidR="003741ED" w:rsidRPr="00560F10" w:rsidRDefault="003741ED" w:rsidP="00516A27">
      <w:pPr>
        <w:spacing w:before="90"/>
        <w:ind w:left="567"/>
      </w:pPr>
      <w:r w:rsidRPr="00560F10">
        <w:t xml:space="preserve">The DWSNZ do not purport to specify a concentration of contaminant at which zero risk exists because a degree of uncertainty over the </w:t>
      </w:r>
      <w:r w:rsidRPr="009C67E4">
        <w:t>magnitude of the risk always exists</w:t>
      </w:r>
      <w:r w:rsidRPr="00560F10">
        <w:t>. The datasheets in the Guidelines (vol 3) provide information on each determinand.</w:t>
      </w:r>
    </w:p>
    <w:p w14:paraId="041E324E" w14:textId="77777777" w:rsidR="003741ED" w:rsidRPr="00560F10" w:rsidRDefault="003741ED" w:rsidP="00516A27">
      <w:pPr>
        <w:pStyle w:val="Number"/>
      </w:pPr>
      <w:r w:rsidRPr="00560F10">
        <w:t>The DWSNZ give highest priority to health risks arising from microbial contaminants because they can lead to rapid and major outbreaks of illness. Control of microbial contamination is of paramount importance and must not be compromised in an attempt to correct chemical problems, such as disinfection by-product (DBP) formation.</w:t>
      </w:r>
    </w:p>
    <w:p w14:paraId="041E324F" w14:textId="77777777" w:rsidR="003741ED" w:rsidRPr="00560F10" w:rsidRDefault="003741ED" w:rsidP="00516A27">
      <w:pPr>
        <w:pStyle w:val="Number"/>
      </w:pPr>
      <w:r w:rsidRPr="00560F10">
        <w:t>The DWSNZ set priorities on how to ensure that, while public health is protected, scarce resources are not diverted to monitoring substances of relatively minor importance.</w:t>
      </w:r>
    </w:p>
    <w:p w14:paraId="041E3250" w14:textId="77777777" w:rsidR="003741ED" w:rsidRPr="00560F10" w:rsidRDefault="003741ED" w:rsidP="00516A27">
      <w:pPr>
        <w:pStyle w:val="Number"/>
      </w:pPr>
      <w:r w:rsidRPr="00560F10">
        <w:t>The DWSNZ set out to protect public health and apply only to health-signiﬁcant determinands.</w:t>
      </w:r>
    </w:p>
    <w:p w14:paraId="041E3251" w14:textId="77777777" w:rsidR="003741ED" w:rsidRPr="00560F10" w:rsidRDefault="003741ED" w:rsidP="00516A27">
      <w:pPr>
        <w:spacing w:before="90"/>
        <w:ind w:left="567"/>
      </w:pPr>
      <w:r w:rsidRPr="00560F10">
        <w:t>However, because the public generally assesses the quality of its water supply on aesthetic perceptions, guideline values for aesthetic determinands are also provided (DWSNZ section 2), although they are not part of the water quality standards.</w:t>
      </w:r>
    </w:p>
    <w:p w14:paraId="041E3252" w14:textId="77777777" w:rsidR="003741ED" w:rsidRPr="00560F10" w:rsidRDefault="003741ED" w:rsidP="00516A27">
      <w:pPr>
        <w:spacing w:before="90"/>
        <w:ind w:left="567"/>
      </w:pPr>
      <w:r w:rsidRPr="00560F10">
        <w:rPr>
          <w:b/>
        </w:rPr>
        <w:t>Wholesome drinking-water</w:t>
      </w:r>
      <w:r w:rsidRPr="00560F10">
        <w:t xml:space="preserve"> is potable water that does not contain or exhibit any determinands that exceed the guideline values for aesthetic determinands in the DWSNZ (see the deﬁnition of </w:t>
      </w:r>
      <w:r>
        <w:t>‘</w:t>
      </w:r>
      <w:r w:rsidRPr="00560F10">
        <w:t>wholesome</w:t>
      </w:r>
      <w:r>
        <w:t>’</w:t>
      </w:r>
      <w:r w:rsidRPr="00560F10">
        <w:t xml:space="preserve"> in section 69G of the Act). For more details, see chapter 18.</w:t>
      </w:r>
    </w:p>
    <w:p w14:paraId="041E3253" w14:textId="77777777" w:rsidR="003741ED" w:rsidRPr="00560F10" w:rsidRDefault="003741ED" w:rsidP="00516A27">
      <w:pPr>
        <w:pStyle w:val="Number"/>
      </w:pPr>
      <w:r w:rsidRPr="00560F10">
        <w:t>To demonstrate compliance with the MAVs, water suppliers need to follow the relevant sampling and testing programmes detailed in sections 4, 5 and 7 to 12 of the DWSNZ.</w:t>
      </w:r>
    </w:p>
    <w:p w14:paraId="041E3254" w14:textId="77777777" w:rsidR="003741ED" w:rsidRPr="00560F10" w:rsidRDefault="003741ED" w:rsidP="00516A27">
      <w:pPr>
        <w:pStyle w:val="Number"/>
      </w:pPr>
      <w:r w:rsidRPr="00560F10">
        <w:t>Where feasible, the sampling protocols are designed to give 95 percent conﬁdence that no determinand in a supply has exceeded its MAV for more than 5</w:t>
      </w:r>
      <w:r w:rsidR="00516A27">
        <w:t> </w:t>
      </w:r>
      <w:r w:rsidRPr="00560F10">
        <w:t>percent of the time.</w:t>
      </w:r>
    </w:p>
    <w:p w14:paraId="041E3255" w14:textId="77777777" w:rsidR="003741ED" w:rsidRPr="001F52BB" w:rsidRDefault="003741ED" w:rsidP="00516A27"/>
    <w:p w14:paraId="041E3256" w14:textId="77777777" w:rsidR="003741ED" w:rsidRDefault="003741ED" w:rsidP="00516A27">
      <w:r w:rsidRPr="003758B6">
        <w:t xml:space="preserve">The MAVs for </w:t>
      </w:r>
      <w:r w:rsidRPr="000C6A0A">
        <w:t>micro-organisms</w:t>
      </w:r>
      <w:r w:rsidRPr="003758B6">
        <w:t xml:space="preserve"> are determined differently from those for chemicals.</w:t>
      </w:r>
    </w:p>
    <w:p w14:paraId="041E3257" w14:textId="77777777" w:rsidR="003741ED" w:rsidRDefault="003741ED" w:rsidP="00516A27">
      <w:pPr>
        <w:spacing w:before="90"/>
        <w:ind w:left="567" w:hanging="567"/>
      </w:pPr>
      <w:r>
        <w:t>a)</w:t>
      </w:r>
      <w:r>
        <w:tab/>
      </w:r>
      <w:r w:rsidRPr="003758B6">
        <w:t>The MAV of a micro-organism is its concentration in drinking-water above which there is a signiﬁcant risk of contracting a waterborne (</w:t>
      </w:r>
      <w:r>
        <w:t>enteric) disease.</w:t>
      </w:r>
    </w:p>
    <w:p w14:paraId="041E3258" w14:textId="77777777" w:rsidR="003741ED" w:rsidRDefault="003741ED" w:rsidP="00516A27">
      <w:pPr>
        <w:spacing w:before="90"/>
        <w:ind w:left="567" w:hanging="567"/>
      </w:pPr>
      <w:r>
        <w:t>b)</w:t>
      </w:r>
      <w:r>
        <w:tab/>
      </w:r>
      <w:r w:rsidRPr="003758B6">
        <w:t>Because of the limitations of existing microbial technology, MAVs are not given for all</w:t>
      </w:r>
      <w:r>
        <w:t xml:space="preserve"> </w:t>
      </w:r>
      <w:r w:rsidRPr="003758B6">
        <w:t xml:space="preserve">micro-organisms of health signiﬁcance (eg, all </w:t>
      </w:r>
      <w:r w:rsidRPr="000C6A0A">
        <w:t>pathogens</w:t>
      </w:r>
      <w:r w:rsidRPr="003758B6">
        <w:t xml:space="preserve">). Instead MAVs are given for the representative organisms </w:t>
      </w:r>
      <w:r w:rsidRPr="000C6A0A">
        <w:rPr>
          <w:i/>
        </w:rPr>
        <w:t>Escherichia coli</w:t>
      </w:r>
      <w:r w:rsidRPr="000C6A0A">
        <w:t xml:space="preserve"> (</w:t>
      </w:r>
      <w:r w:rsidRPr="000C6A0A">
        <w:rPr>
          <w:i/>
        </w:rPr>
        <w:t>E. coli</w:t>
      </w:r>
      <w:r w:rsidRPr="000C6A0A">
        <w:t>)</w:t>
      </w:r>
      <w:r w:rsidRPr="003758B6">
        <w:t xml:space="preserve"> for the bacteria </w:t>
      </w:r>
      <w:r w:rsidRPr="000C6A0A">
        <w:t xml:space="preserve">and </w:t>
      </w:r>
      <w:r w:rsidRPr="000C6A0A">
        <w:rPr>
          <w:i/>
        </w:rPr>
        <w:t>Cryptosporidium</w:t>
      </w:r>
      <w:r w:rsidRPr="000C6A0A">
        <w:t xml:space="preserve"> plus </w:t>
      </w:r>
      <w:r w:rsidRPr="000C6A0A">
        <w:rPr>
          <w:i/>
        </w:rPr>
        <w:t>Giardia</w:t>
      </w:r>
      <w:r w:rsidRPr="000C6A0A">
        <w:t xml:space="preserve"> (representing the protozoa</w:t>
      </w:r>
      <w:r w:rsidRPr="003758B6">
        <w:t>).</w:t>
      </w:r>
    </w:p>
    <w:p w14:paraId="041E3259" w14:textId="77777777" w:rsidR="003741ED" w:rsidRDefault="003741ED" w:rsidP="00516A27">
      <w:pPr>
        <w:spacing w:before="90"/>
        <w:ind w:left="567" w:hanging="567"/>
      </w:pPr>
      <w:r>
        <w:t>c)</w:t>
      </w:r>
      <w:r>
        <w:tab/>
      </w:r>
      <w:r w:rsidRPr="000C6A0A">
        <w:rPr>
          <w:i/>
        </w:rPr>
        <w:t>E. coli</w:t>
      </w:r>
      <w:r w:rsidRPr="003758B6">
        <w:t xml:space="preserve"> is used as an indicator of bacterial risk because it indicates the presence of faecal material and, therefore, the potential presence of pathogenic bacteria.</w:t>
      </w:r>
    </w:p>
    <w:p w14:paraId="041E325A" w14:textId="77777777" w:rsidR="003741ED" w:rsidRPr="003758B6" w:rsidRDefault="003741ED" w:rsidP="00516A27">
      <w:pPr>
        <w:spacing w:before="90"/>
        <w:ind w:left="567" w:hanging="567"/>
      </w:pPr>
      <w:r>
        <w:t>d)</w:t>
      </w:r>
      <w:r>
        <w:tab/>
        <w:t>There are no MAVs for viruses; water that meets bacterial and protozoal compliance is deemed to virologically satisfactory.</w:t>
      </w:r>
    </w:p>
    <w:p w14:paraId="041E325B" w14:textId="77777777" w:rsidR="003741ED" w:rsidRDefault="003741ED" w:rsidP="00516A27"/>
    <w:p w14:paraId="041E325C" w14:textId="77777777" w:rsidR="003741ED" w:rsidRPr="00A13666" w:rsidRDefault="003741ED" w:rsidP="00516A27">
      <w:r w:rsidRPr="00A13666">
        <w:t xml:space="preserve">The DWSNZ </w:t>
      </w:r>
      <w:r>
        <w:t xml:space="preserve">also </w:t>
      </w:r>
      <w:r w:rsidRPr="00A13666">
        <w:t xml:space="preserve">prescribe MAVs for </w:t>
      </w:r>
      <w:r>
        <w:t xml:space="preserve">the </w:t>
      </w:r>
      <w:r w:rsidRPr="00A13666">
        <w:t>determinands of public health significance</w:t>
      </w:r>
      <w:r>
        <w:t xml:space="preserve"> other than micro-organisms</w:t>
      </w:r>
      <w:r w:rsidRPr="00A13666">
        <w:t>.</w:t>
      </w:r>
      <w:r>
        <w:t xml:space="preserve"> These</w:t>
      </w:r>
      <w:r w:rsidRPr="00A13666">
        <w:t xml:space="preserve"> MAV</w:t>
      </w:r>
      <w:r>
        <w:t>s</w:t>
      </w:r>
      <w:r w:rsidRPr="00A13666">
        <w:t xml:space="preserve"> </w:t>
      </w:r>
      <w:r>
        <w:t>are</w:t>
      </w:r>
      <w:r w:rsidRPr="00A13666">
        <w:t xml:space="preserve"> the concentration</w:t>
      </w:r>
      <w:r>
        <w:t>s</w:t>
      </w:r>
      <w:r w:rsidRPr="00A13666">
        <w:t xml:space="preserve"> of determinand</w:t>
      </w:r>
      <w:r>
        <w:t>s</w:t>
      </w:r>
      <w:r w:rsidRPr="00A13666">
        <w:t xml:space="preserve"> below which </w:t>
      </w:r>
      <w:r>
        <w:t xml:space="preserve">there is no </w:t>
      </w:r>
      <w:r w:rsidRPr="00A13666">
        <w:t>significant risk to a consumer over a lifetime of consumption</w:t>
      </w:r>
      <w:r>
        <w:t xml:space="preserve"> assessed at 2 litres per day</w:t>
      </w:r>
      <w:r w:rsidRPr="00A13666">
        <w:t>.</w:t>
      </w:r>
    </w:p>
    <w:p w14:paraId="041E325D" w14:textId="77777777" w:rsidR="003741ED" w:rsidRDefault="003741ED" w:rsidP="00516A27"/>
    <w:p w14:paraId="041E325E" w14:textId="77777777" w:rsidR="003741ED" w:rsidRDefault="003741ED" w:rsidP="00516A27">
      <w:r>
        <w:t>M</w:t>
      </w:r>
      <w:r w:rsidRPr="003758B6">
        <w:t>AVs for chemical determinands of health signiﬁcance are given in Tables 2.2 and 2.3</w:t>
      </w:r>
      <w:r>
        <w:t xml:space="preserve"> of the DWSNZ</w:t>
      </w:r>
      <w:r w:rsidRPr="003758B6">
        <w:t xml:space="preserve">. Because the relationship between cyanobacterial numbers and toxin production is highly variable, no attempt is made to develop MAVs for </w:t>
      </w:r>
      <w:r w:rsidRPr="000C6A0A">
        <w:t>cyanobacteria</w:t>
      </w:r>
      <w:r w:rsidRPr="003758B6">
        <w:t xml:space="preserve">, but they are developed for their </w:t>
      </w:r>
      <w:r w:rsidRPr="000C6A0A">
        <w:t>cyanotoxins</w:t>
      </w:r>
      <w:r w:rsidRPr="003758B6">
        <w:t>.</w:t>
      </w:r>
    </w:p>
    <w:p w14:paraId="041E325F" w14:textId="77777777" w:rsidR="003741ED" w:rsidRPr="00A13666" w:rsidRDefault="003741ED" w:rsidP="00516A27"/>
    <w:p w14:paraId="041E3260" w14:textId="77777777" w:rsidR="003741ED" w:rsidRPr="00A13666" w:rsidRDefault="003741ED" w:rsidP="00516A27">
      <w:r w:rsidRPr="00A13666">
        <w:t>Wherever possible, the MAVs have been based on the latest WHO guideline values.</w:t>
      </w:r>
      <w:r>
        <w:t xml:space="preserve"> </w:t>
      </w:r>
      <w:r w:rsidRPr="00A13666">
        <w:t>WHO calls their guideline values provisional when there is a high degree of uncertainty in the toxicology and health data, or if there are difficulties in water treatment or chemical analysis.</w:t>
      </w:r>
      <w:r>
        <w:t xml:space="preserve"> </w:t>
      </w:r>
      <w:r w:rsidRPr="00A13666">
        <w:t>The DWSNZ adopt the same approach.</w:t>
      </w:r>
      <w:r>
        <w:t xml:space="preserve"> </w:t>
      </w:r>
      <w:r w:rsidRPr="00A13666">
        <w:t>Provisional MAVs (PMAVs) have also been applied to chemical determinands when the Ministry of Health has derived a MAV in the absence of a WHO guideline value.</w:t>
      </w:r>
      <w:r>
        <w:t xml:space="preserve"> </w:t>
      </w:r>
      <w:r w:rsidRPr="00A13666">
        <w:t>In terms of compliance with the DWSNZ, PMAVs are considered to be equivalent to MAVs.</w:t>
      </w:r>
    </w:p>
    <w:p w14:paraId="041E3261" w14:textId="77777777" w:rsidR="003741ED" w:rsidRPr="00A13666" w:rsidRDefault="003741ED" w:rsidP="00516A27"/>
    <w:p w14:paraId="041E3262" w14:textId="77777777" w:rsidR="003741ED" w:rsidRPr="00A13666" w:rsidRDefault="003741ED" w:rsidP="00516A27">
      <w:r w:rsidRPr="00A13666">
        <w:t>Chemical MAVs are based on average values, and while a higher daily dose could be safe for a certain period, consumption of that dose for a lifetime is not expected to be safe.</w:t>
      </w:r>
      <w:r>
        <w:t xml:space="preserve"> </w:t>
      </w:r>
      <w:r w:rsidRPr="00A13666">
        <w:t xml:space="preserve">Average values are used for framing Regulations because provision cannot be made for all possible combinations of exposures that individuals may encounter; </w:t>
      </w:r>
      <w:r>
        <w:t>an</w:t>
      </w:r>
      <w:r w:rsidRPr="00A13666">
        <w:t xml:space="preserve"> exception is cyanide where the MAV has been established to protect consumers during short-term exposure following a significant spill of cyanide to a drinking-water source (see datasheet in the</w:t>
      </w:r>
      <w:r>
        <w:t xml:space="preserve"> Guidelines). There is a short-</w:t>
      </w:r>
      <w:r w:rsidRPr="00A13666">
        <w:t xml:space="preserve">term MAV for nitrate and nitrite </w:t>
      </w:r>
      <w:r>
        <w:t>as well</w:t>
      </w:r>
      <w:r w:rsidRPr="00A13666">
        <w:t>, established to protect against methaemoglobinaemia in bottle-fed infants.</w:t>
      </w:r>
    </w:p>
    <w:p w14:paraId="041E3263" w14:textId="77777777" w:rsidR="003741ED" w:rsidRPr="00A13666" w:rsidRDefault="003741ED" w:rsidP="00516A27"/>
    <w:p w14:paraId="041E3264" w14:textId="77777777" w:rsidR="003741ED" w:rsidRDefault="003741ED" w:rsidP="005959EC">
      <w:pPr>
        <w:keepNext/>
      </w:pPr>
      <w:r w:rsidRPr="00A13666">
        <w:t>For carcinogenic chemicals, the MAVs set in the DWSNZ generally represent a risk of one additional incidence of cancer per 100,000 people ingesting the water at the concentration of the MAV for 70 years.</w:t>
      </w:r>
    </w:p>
    <w:p w14:paraId="041E3265" w14:textId="77777777" w:rsidR="003741ED" w:rsidRPr="00A13666" w:rsidRDefault="003741ED" w:rsidP="00516A27"/>
    <w:p w14:paraId="041E3266" w14:textId="77777777" w:rsidR="003741ED" w:rsidRPr="003758B6" w:rsidRDefault="003741ED" w:rsidP="00516A27">
      <w:r w:rsidRPr="003758B6">
        <w:t>For most other chemicals, MAVs have been calculated using a tolerable daily intake (TDI) approach that identiﬁes the dose below which no evidence exists that signiﬁcant adverse effects will occur and that will represent no signiﬁcant risk to a consumer from a lifetime of consumption of 2 L of the water per day. The derivation</w:t>
      </w:r>
      <w:r>
        <w:t>s</w:t>
      </w:r>
      <w:r w:rsidRPr="003758B6">
        <w:t xml:space="preserve"> of the MAVs are explained in the datasheets in the Guidelines.</w:t>
      </w:r>
    </w:p>
    <w:p w14:paraId="041E3267" w14:textId="77777777" w:rsidR="003741ED" w:rsidRPr="00A13666" w:rsidRDefault="003741ED" w:rsidP="00516A27"/>
    <w:p w14:paraId="041E3268" w14:textId="77777777" w:rsidR="003741ED" w:rsidRDefault="003741ED" w:rsidP="00516A27">
      <w:r w:rsidRPr="00A13666">
        <w:t>MAVs apply to water intended for human consumption, food preparation, utensil washing, oral hygiene or personal hygiene.</w:t>
      </w:r>
      <w:r>
        <w:t xml:space="preserve"> </w:t>
      </w:r>
      <w:r w:rsidRPr="00A13666">
        <w:t>Approximately one third of the daily average fluid intake is thought to be derived from food.</w:t>
      </w:r>
      <w:r>
        <w:t xml:space="preserve"> </w:t>
      </w:r>
      <w:r w:rsidRPr="00A13666">
        <w:t>The remaining water requirement must be met from consuming fluids.</w:t>
      </w:r>
      <w:r>
        <w:t xml:space="preserve"> </w:t>
      </w:r>
      <w:r w:rsidRPr="00A13666">
        <w:t>The criteria in the DWSNZ are applicable to all drinking-water except bottled water, which must comply with the Food Act 1981.</w:t>
      </w:r>
    </w:p>
    <w:p w14:paraId="041E3269" w14:textId="77777777" w:rsidR="003741ED" w:rsidRPr="00A13666" w:rsidRDefault="003741ED" w:rsidP="00516A27"/>
    <w:p w14:paraId="041E326A" w14:textId="77777777" w:rsidR="003741ED" w:rsidRDefault="003741ED" w:rsidP="00516A27">
      <w:r w:rsidRPr="003758B6">
        <w:t>The WHO assesses determinands for which health concerns have been raised and has found many are unlikely to occur in drinking-water or occur at levels well below those at which toxic effects are observed. Datasheets for these determinands appear in the Guidelines.</w:t>
      </w:r>
    </w:p>
    <w:p w14:paraId="041E326B" w14:textId="77777777" w:rsidR="003741ED" w:rsidRPr="00A13666" w:rsidRDefault="003741ED" w:rsidP="00516A27"/>
    <w:p w14:paraId="041E326C" w14:textId="77777777" w:rsidR="003741ED" w:rsidRDefault="003741ED" w:rsidP="00516A27">
      <w:r w:rsidRPr="00A13666">
        <w:t xml:space="preserve">The </w:t>
      </w:r>
      <w:r w:rsidRPr="00D30E50">
        <w:t>DWSNZ list the maximum concentrations of chemical, radiological and microbiological conta</w:t>
      </w:r>
      <w:r w:rsidRPr="00A13666">
        <w:t>minants acceptable for public health in drinking-water.</w:t>
      </w:r>
      <w:r>
        <w:t xml:space="preserve"> </w:t>
      </w:r>
      <w:r w:rsidRPr="00A13666">
        <w:t>For community drinking-water supplies, the DWSNZ specify the sampling frequencies and testing procedures that must be used to demonstrate that the water complies with the DWSNZ.</w:t>
      </w:r>
    </w:p>
    <w:p w14:paraId="041E326D" w14:textId="77777777" w:rsidR="003741ED" w:rsidRPr="00A13666" w:rsidRDefault="003741ED" w:rsidP="00516A27"/>
    <w:p w14:paraId="041E326E" w14:textId="77777777" w:rsidR="003741ED" w:rsidRPr="00A13666" w:rsidRDefault="003741ED" w:rsidP="00516A27">
      <w:r w:rsidRPr="00A13666">
        <w:t>The sampling frequencies are chosen to give 95 percent confidence that the medium to large drinking-water supplies comply with the Standards for at least 95 percent of the time.</w:t>
      </w:r>
      <w:r>
        <w:t xml:space="preserve"> </w:t>
      </w:r>
      <w:r w:rsidRPr="00A13666">
        <w:t>The larger supplies are required to monitor more frequently.</w:t>
      </w:r>
      <w:r>
        <w:t xml:space="preserve"> </w:t>
      </w:r>
      <w:r w:rsidRPr="00A13666">
        <w:t>The DWSNZ 1995 used classical statistics to derive the necessary monitoring frequencies, but the DWSNZ 2000 took advantage of more recent advances in the use of statistics in which monitoring frequencies are derived using the Bayesian approach (McBride and Ellis 2000</w:t>
      </w:r>
      <w:r>
        <w:t>)</w:t>
      </w:r>
      <w:r w:rsidRPr="00A13666">
        <w:t>.</w:t>
      </w:r>
      <w:r>
        <w:t xml:space="preserve"> For further information, refer to the Appendix.</w:t>
      </w:r>
    </w:p>
    <w:p w14:paraId="041E326F" w14:textId="77777777" w:rsidR="003741ED" w:rsidRPr="00A13666" w:rsidRDefault="003741ED" w:rsidP="00516A27"/>
    <w:p w14:paraId="041E3270" w14:textId="77777777" w:rsidR="003741ED" w:rsidRPr="00A13666" w:rsidRDefault="003741ED" w:rsidP="00516A27">
      <w:r w:rsidRPr="00A13666">
        <w:t>The DWSNZ do not describe how a water supply should be managed.</w:t>
      </w:r>
      <w:r>
        <w:t xml:space="preserve"> This should be covered in the water safety plans. Water supply management</w:t>
      </w:r>
      <w:r w:rsidRPr="00A13666">
        <w:t xml:space="preserve"> is </w:t>
      </w:r>
      <w:r>
        <w:t xml:space="preserve">also </w:t>
      </w:r>
      <w:r w:rsidRPr="00A13666">
        <w:t xml:space="preserve">discussed in the </w:t>
      </w:r>
      <w:r w:rsidRPr="004E2F49">
        <w:rPr>
          <w:i/>
        </w:rPr>
        <w:t>Guidelines for Drinking-water Quality Management in New Zealand</w:t>
      </w:r>
      <w:r w:rsidRPr="00A13666">
        <w:t>.</w:t>
      </w:r>
    </w:p>
    <w:p w14:paraId="041E3271" w14:textId="77777777" w:rsidR="003741ED" w:rsidRPr="00A13666" w:rsidRDefault="003741ED" w:rsidP="00516A27"/>
    <w:p w14:paraId="041E3272" w14:textId="77777777" w:rsidR="003741ED" w:rsidRPr="00A13666" w:rsidRDefault="003741ED" w:rsidP="00516A27">
      <w:r w:rsidRPr="00A13666">
        <w:t>The DWSNZ specify MAVs for more than 120 determinands.</w:t>
      </w:r>
      <w:r>
        <w:t xml:space="preserve"> </w:t>
      </w:r>
      <w:r w:rsidRPr="00A13666">
        <w:t xml:space="preserve">To minimise the number of determinands that have to be monitored routinely in any specific drinking-water supply but still maintain adequate safeguards to public health, the DWSNZ have grouped the determinands of public health concern into </w:t>
      </w:r>
      <w:r>
        <w:t xml:space="preserve">three priority classes, </w:t>
      </w:r>
      <w:r w:rsidRPr="007241B7">
        <w:t>see section 1.6.</w:t>
      </w:r>
      <w:r>
        <w:t>10</w:t>
      </w:r>
      <w:r w:rsidRPr="007241B7">
        <w:t xml:space="preserve"> and </w:t>
      </w:r>
      <w:r>
        <w:t>Table 1.5</w:t>
      </w:r>
      <w:r w:rsidRPr="00A13666">
        <w:t>.</w:t>
      </w:r>
      <w:r>
        <w:t xml:space="preserve"> The Appendix includes a discussion on how to handle ‘non-detects’ or ‘less than values’.</w:t>
      </w:r>
    </w:p>
    <w:p w14:paraId="041E3273" w14:textId="77777777" w:rsidR="003741ED" w:rsidRPr="00A13666" w:rsidRDefault="003741ED" w:rsidP="00516A27"/>
    <w:p w14:paraId="041E3274" w14:textId="77777777" w:rsidR="003741ED" w:rsidRPr="00A13666" w:rsidRDefault="003741ED" w:rsidP="005959EC">
      <w:pPr>
        <w:keepLines/>
      </w:pPr>
      <w:r w:rsidRPr="00A13666">
        <w:t>The potential indicators of disease-causing organisms, micro-organisms characteristic of faecal contamination, are given the highest priority</w:t>
      </w:r>
      <w:r>
        <w:t xml:space="preserve"> (</w:t>
      </w:r>
      <w:r w:rsidRPr="00A13666">
        <w:t>Priority 1</w:t>
      </w:r>
      <w:r>
        <w:t>)</w:t>
      </w:r>
      <w:r w:rsidRPr="00A13666">
        <w:t>, in the DWSNZ because the public health implications of disease organisms in the water supply are almost always of greater concern than the presence of chemical contaminants, which are usually slower acting.</w:t>
      </w:r>
    </w:p>
    <w:p w14:paraId="041E3275" w14:textId="77777777" w:rsidR="003741ED" w:rsidRPr="00A13666" w:rsidRDefault="003741ED" w:rsidP="00516A27"/>
    <w:p w14:paraId="041E3276" w14:textId="77777777" w:rsidR="003741ED" w:rsidRPr="00A13666" w:rsidRDefault="003741ED" w:rsidP="00516A27">
      <w:r w:rsidRPr="00A13666">
        <w:t>It can be seen that the top priority is given to identifying potential causes of infectious disease outbreaks.</w:t>
      </w:r>
      <w:r>
        <w:t xml:space="preserve"> </w:t>
      </w:r>
      <w:r w:rsidRPr="00A13666">
        <w:t>In an ideal world a screening test would be used that provides instant identification of the presence of pathogenic organisms in drinking-water.</w:t>
      </w:r>
      <w:r>
        <w:t xml:space="preserve"> </w:t>
      </w:r>
      <w:r w:rsidRPr="00A13666">
        <w:t>At present no such test exists.</w:t>
      </w:r>
      <w:r>
        <w:t xml:space="preserve"> </w:t>
      </w:r>
      <w:r w:rsidRPr="00A13666">
        <w:t>Until better tests have been developed, New Zealand, like the rest of the world, has to fall back on the use of indicator organisms to identify the probability that the water has been contaminated by excrement and, therefore, the possibility that pathogenic bacteria or viruses are present.</w:t>
      </w:r>
      <w:r>
        <w:t xml:space="preserve"> </w:t>
      </w:r>
      <w:r w:rsidRPr="00A13666">
        <w:t>Because of the practical difficulties in routinely enumerating infectious protozoa in drinking-water, surrogate methods have had to be used, based on checking that the water is from a safe source or has received a level of treatment that has a high probability of removing protozoal organisms.</w:t>
      </w:r>
    </w:p>
    <w:p w14:paraId="041E3277" w14:textId="77777777" w:rsidR="003741ED" w:rsidRPr="00A13666" w:rsidRDefault="003741ED" w:rsidP="00516A27"/>
    <w:p w14:paraId="041E3278" w14:textId="77777777" w:rsidR="003741ED" w:rsidRPr="00A13666" w:rsidRDefault="003741ED" w:rsidP="00516A27">
      <w:r w:rsidRPr="00A13666">
        <w:t>Information on the supply-specific Priority 2 determinands, ie</w:t>
      </w:r>
      <w:r>
        <w:t>,</w:t>
      </w:r>
      <w:r w:rsidRPr="00A13666">
        <w:t xml:space="preserve"> those determinands in a drinking-water supply that are of public health concern, is published in the </w:t>
      </w:r>
      <w:r>
        <w:rPr>
          <w:i/>
        </w:rPr>
        <w:t>Annual Review</w:t>
      </w:r>
      <w:r w:rsidRPr="00A13666">
        <w:t xml:space="preserve"> (see </w:t>
      </w:r>
      <w:r>
        <w:t>s</w:t>
      </w:r>
      <w:r w:rsidRPr="004E2F49">
        <w:t>ection 1.6.1</w:t>
      </w:r>
      <w:r>
        <w:t>2</w:t>
      </w:r>
      <w:r w:rsidRPr="00A13666">
        <w:t>)</w:t>
      </w:r>
      <w:r>
        <w:t>.</w:t>
      </w:r>
    </w:p>
    <w:p w14:paraId="041E3279" w14:textId="77777777" w:rsidR="003741ED" w:rsidRPr="00A13666" w:rsidRDefault="003741ED" w:rsidP="00516A27"/>
    <w:p w14:paraId="041E327A" w14:textId="77777777" w:rsidR="003741ED" w:rsidRPr="00A13666" w:rsidRDefault="003741ED" w:rsidP="00516A27">
      <w:r w:rsidRPr="00A13666">
        <w:t>The MAVs in the DWSNZ apply to private and individual household drinking-water supplies as well as to community supplies.</w:t>
      </w:r>
      <w:r>
        <w:t xml:space="preserve"> </w:t>
      </w:r>
      <w:r w:rsidRPr="00A13666">
        <w:t>Because of the wide variation in the circumstances of individual supplies it is not possible to give explicit guidance on sampling strategies for individual supplies in the DWSNZ.</w:t>
      </w:r>
      <w:r>
        <w:t xml:space="preserve"> </w:t>
      </w:r>
      <w:r w:rsidRPr="00A13666">
        <w:t>Individual household supplies are discussed in Chapter 19 of these Guidelines.</w:t>
      </w:r>
      <w:r>
        <w:t xml:space="preserve"> </w:t>
      </w:r>
      <w:r w:rsidRPr="00A13666">
        <w:t>Advice on specific cases can be obtained from the drinking-water assessors.</w:t>
      </w:r>
    </w:p>
    <w:p w14:paraId="041E327B" w14:textId="77777777" w:rsidR="003741ED" w:rsidRPr="00A13666" w:rsidRDefault="003741ED" w:rsidP="00516A27"/>
    <w:p w14:paraId="041E327C" w14:textId="77777777" w:rsidR="003741ED" w:rsidRPr="00A13666" w:rsidRDefault="003741ED" w:rsidP="00516A27">
      <w:r w:rsidRPr="00A13666">
        <w:t>Compliance with the DWSNZ demonstrates that a drinking-water supply is potable within the meaning of the Act.</w:t>
      </w:r>
      <w:r>
        <w:t xml:space="preserve"> </w:t>
      </w:r>
      <w:r w:rsidRPr="00A13666">
        <w:t>The DWSNZ:</w:t>
      </w:r>
    </w:p>
    <w:p w14:paraId="041E327D" w14:textId="77777777" w:rsidR="003741ED" w:rsidRPr="00A13666" w:rsidRDefault="003741ED" w:rsidP="00516A27">
      <w:pPr>
        <w:spacing w:before="90"/>
        <w:ind w:left="567" w:hanging="567"/>
      </w:pPr>
      <w:r>
        <w:t>1</w:t>
      </w:r>
      <w:r>
        <w:tab/>
      </w:r>
      <w:r w:rsidRPr="00A13666">
        <w:t xml:space="preserve">specify </w:t>
      </w:r>
      <w:r>
        <w:t xml:space="preserve">bacteriological </w:t>
      </w:r>
      <w:r w:rsidRPr="00A13666">
        <w:t>referee methods against which the methods used by individual laboratories have to be calibrated</w:t>
      </w:r>
      <w:r w:rsidRPr="00967933">
        <w:t xml:space="preserve"> </w:t>
      </w:r>
      <w:r>
        <w:t>satisfactorily</w:t>
      </w:r>
    </w:p>
    <w:p w14:paraId="041E327E" w14:textId="77777777" w:rsidR="003741ED" w:rsidRPr="00A13666" w:rsidRDefault="003741ED" w:rsidP="00516A27">
      <w:pPr>
        <w:spacing w:before="90"/>
        <w:ind w:left="567" w:hanging="567"/>
      </w:pPr>
      <w:r>
        <w:t>2</w:t>
      </w:r>
      <w:r>
        <w:tab/>
      </w:r>
      <w:r w:rsidRPr="00A13666">
        <w:t>require that laboratories carrying out compliance testing be approved for the purpose by the Ministry of Health</w:t>
      </w:r>
    </w:p>
    <w:p w14:paraId="041E327F" w14:textId="77777777" w:rsidR="003741ED" w:rsidRPr="00A13666" w:rsidRDefault="003741ED" w:rsidP="00516A27">
      <w:pPr>
        <w:spacing w:before="90"/>
        <w:ind w:left="567" w:hanging="567"/>
      </w:pPr>
      <w:r>
        <w:t>3</w:t>
      </w:r>
      <w:r>
        <w:tab/>
      </w:r>
      <w:r w:rsidRPr="00A13666">
        <w:t xml:space="preserve">specify minimum remedial action </w:t>
      </w:r>
      <w:r>
        <w:t xml:space="preserve">needed </w:t>
      </w:r>
      <w:r w:rsidRPr="00A13666">
        <w:t>in the event of the DWSNZ being breached.</w:t>
      </w:r>
    </w:p>
    <w:p w14:paraId="041E3280" w14:textId="77777777" w:rsidR="003741ED" w:rsidRPr="00A13666" w:rsidRDefault="003741ED" w:rsidP="00516A27"/>
    <w:p w14:paraId="041E3281" w14:textId="77777777" w:rsidR="003741ED" w:rsidRPr="00320B23" w:rsidRDefault="003741ED" w:rsidP="006A6B09">
      <w:pPr>
        <w:pStyle w:val="Heading3"/>
      </w:pPr>
      <w:bookmarkStart w:id="173" w:name="_Toc362013209"/>
      <w:bookmarkStart w:id="174" w:name="_Toc364704310"/>
      <w:bookmarkStart w:id="175" w:name="_Toc2333450"/>
      <w:bookmarkStart w:id="176" w:name="_Toc8979335"/>
      <w:r w:rsidRPr="00320B23">
        <w:t xml:space="preserve">Guidelines </w:t>
      </w:r>
      <w:r>
        <w:t>f</w:t>
      </w:r>
      <w:r w:rsidRPr="00320B23">
        <w:t>or Drinking-</w:t>
      </w:r>
      <w:r>
        <w:t>w</w:t>
      </w:r>
      <w:r w:rsidRPr="00320B23">
        <w:t xml:space="preserve">ater Quality Management </w:t>
      </w:r>
      <w:r>
        <w:t>i</w:t>
      </w:r>
      <w:r w:rsidRPr="00320B23">
        <w:t>n New Zealand</w:t>
      </w:r>
      <w:bookmarkEnd w:id="173"/>
      <w:bookmarkEnd w:id="174"/>
      <w:bookmarkEnd w:id="175"/>
      <w:bookmarkEnd w:id="176"/>
    </w:p>
    <w:p w14:paraId="041E3282" w14:textId="77777777" w:rsidR="003741ED" w:rsidRPr="002C5CC3" w:rsidRDefault="003741ED" w:rsidP="005959EC">
      <w:pPr>
        <w:keepLines/>
      </w:pPr>
      <w:r w:rsidRPr="002C5CC3">
        <w:t xml:space="preserve">The </w:t>
      </w:r>
      <w:r w:rsidRPr="004E2F49">
        <w:rPr>
          <w:i/>
        </w:rPr>
        <w:t>Guidelines for Drinking-</w:t>
      </w:r>
      <w:r>
        <w:rPr>
          <w:i/>
        </w:rPr>
        <w:t>w</w:t>
      </w:r>
      <w:r w:rsidRPr="004E2F49">
        <w:rPr>
          <w:i/>
        </w:rPr>
        <w:t>ater Quality Management in New Zealand</w:t>
      </w:r>
      <w:r w:rsidRPr="002C5CC3">
        <w:t xml:space="preserve"> (the Guidelines) provide more detailed information on the public health management of drinking-water and the properties of drinking-water determinands of public health concern than </w:t>
      </w:r>
      <w:r>
        <w:t>appears</w:t>
      </w:r>
      <w:r w:rsidRPr="002C5CC3">
        <w:t xml:space="preserve"> in the DWSNZ.</w:t>
      </w:r>
      <w:r>
        <w:t xml:space="preserve"> </w:t>
      </w:r>
      <w:r w:rsidRPr="002C5CC3">
        <w:t>They provide access to information on public health aspects of drinking-water to water supply personnel, health per</w:t>
      </w:r>
      <w:r>
        <w:t xml:space="preserve">sonnel and the general public. The original </w:t>
      </w:r>
      <w:r w:rsidRPr="00F46F7F">
        <w:rPr>
          <w:i/>
        </w:rPr>
        <w:t>Guidelines</w:t>
      </w:r>
      <w:r>
        <w:t xml:space="preserve"> were published in 1995 and were directed mainly at small supplies and some self-suppliers. The 2005 edition and subsequent revisions are directed at all water supplies.</w:t>
      </w:r>
    </w:p>
    <w:p w14:paraId="041E3283" w14:textId="77777777" w:rsidR="003741ED" w:rsidRPr="002C5CC3" w:rsidRDefault="003741ED" w:rsidP="006A6B09"/>
    <w:p w14:paraId="041E3284" w14:textId="77777777" w:rsidR="003741ED" w:rsidRPr="002C5CC3" w:rsidRDefault="003741ED" w:rsidP="006A6B09">
      <w:r w:rsidRPr="002C5CC3">
        <w:t xml:space="preserve">The </w:t>
      </w:r>
      <w:r w:rsidRPr="00F46F7F">
        <w:rPr>
          <w:i/>
        </w:rPr>
        <w:t>Guidelines</w:t>
      </w:r>
      <w:r w:rsidRPr="002C5CC3">
        <w:t xml:space="preserve"> provide background and supporting information for the DWSNZ and will be revised as necessary.</w:t>
      </w:r>
      <w:r>
        <w:t xml:space="preserve"> </w:t>
      </w:r>
      <w:r w:rsidRPr="002C5CC3">
        <w:t xml:space="preserve">The </w:t>
      </w:r>
      <w:r w:rsidRPr="00F46F7F">
        <w:rPr>
          <w:i/>
        </w:rPr>
        <w:t>Guidelines</w:t>
      </w:r>
      <w:r w:rsidRPr="002C5CC3">
        <w:t xml:space="preserve"> contain:</w:t>
      </w:r>
    </w:p>
    <w:p w14:paraId="041E3285" w14:textId="77777777" w:rsidR="003741ED" w:rsidRPr="002C5CC3" w:rsidRDefault="003741ED" w:rsidP="006A6B09">
      <w:pPr>
        <w:pStyle w:val="Bullet"/>
      </w:pPr>
      <w:r w:rsidRPr="002C5CC3">
        <w:t>guidance and good management principles for community drinking-water supplies</w:t>
      </w:r>
    </w:p>
    <w:p w14:paraId="041E3286" w14:textId="77777777" w:rsidR="003741ED" w:rsidRDefault="003741ED" w:rsidP="006A6B09">
      <w:pPr>
        <w:pStyle w:val="Bullet"/>
      </w:pPr>
      <w:r w:rsidRPr="002C5CC3">
        <w:t>volume 1 includes the chapters.</w:t>
      </w:r>
      <w:r>
        <w:t xml:space="preserve"> </w:t>
      </w:r>
      <w:r w:rsidRPr="002C5CC3">
        <w:t>Chapters 1</w:t>
      </w:r>
      <w:r>
        <w:t>–</w:t>
      </w:r>
      <w:r w:rsidRPr="002C5CC3">
        <w:t>5 are largely introductory</w:t>
      </w:r>
      <w:r>
        <w:t xml:space="preserve"> and </w:t>
      </w:r>
      <w:r w:rsidRPr="002C5CC3">
        <w:t>discuss risk management, and source water.</w:t>
      </w:r>
      <w:r>
        <w:t xml:space="preserve"> </w:t>
      </w:r>
      <w:r w:rsidRPr="002C5CC3">
        <w:t>Chapters 6</w:t>
      </w:r>
      <w:r>
        <w:t>–</w:t>
      </w:r>
      <w:r w:rsidRPr="002C5CC3">
        <w:t>1</w:t>
      </w:r>
      <w:r>
        <w:t xml:space="preserve">1 </w:t>
      </w:r>
      <w:r w:rsidRPr="002C5CC3">
        <w:t>discus</w:t>
      </w:r>
      <w:r>
        <w:t>s</w:t>
      </w:r>
      <w:r w:rsidRPr="002C5CC3">
        <w:t xml:space="preserve"> compliance issues.</w:t>
      </w:r>
      <w:r>
        <w:t xml:space="preserve"> </w:t>
      </w:r>
      <w:r w:rsidRPr="002C5CC3">
        <w:t>Chapters 12</w:t>
      </w:r>
      <w:r>
        <w:t>–</w:t>
      </w:r>
      <w:r w:rsidRPr="002C5CC3">
        <w:t xml:space="preserve">18 </w:t>
      </w:r>
      <w:r>
        <w:t>relate to operating</w:t>
      </w:r>
      <w:r w:rsidRPr="002C5CC3">
        <w:t xml:space="preserve"> and maintaining the supply.</w:t>
      </w:r>
      <w:r>
        <w:t xml:space="preserve"> </w:t>
      </w:r>
      <w:r w:rsidRPr="002C5CC3">
        <w:t>Chapter 19 covers small supplies</w:t>
      </w:r>
    </w:p>
    <w:p w14:paraId="041E3287" w14:textId="77777777" w:rsidR="003741ED" w:rsidRDefault="003741ED" w:rsidP="006A6B09">
      <w:pPr>
        <w:pStyle w:val="Bullet"/>
      </w:pPr>
      <w:r w:rsidRPr="002C5CC3">
        <w:t xml:space="preserve">the datasheets, in volume </w:t>
      </w:r>
      <w:r>
        <w:t>2</w:t>
      </w:r>
      <w:r w:rsidRPr="002C5CC3">
        <w:t>, describe how the criteria used in the DWSNZ were derived.</w:t>
      </w:r>
    </w:p>
    <w:p w14:paraId="041E3288" w14:textId="77777777" w:rsidR="003741ED" w:rsidRDefault="003741ED" w:rsidP="006A6B09"/>
    <w:p w14:paraId="041E3289" w14:textId="77777777" w:rsidR="003741ED" w:rsidRPr="002C5CC3" w:rsidRDefault="003741ED" w:rsidP="006A6B09">
      <w:r w:rsidRPr="002C5CC3">
        <w:t xml:space="preserve">These datasheets </w:t>
      </w:r>
      <w:r>
        <w:t xml:space="preserve">also </w:t>
      </w:r>
      <w:r w:rsidRPr="002C5CC3">
        <w:t>provide background information about each determinand including their sources, environmental forms and fates, typical concentrations either in New Zealand or overseas drinking-water supplies, processes for removing the determinand from drinking-water, analytical methods, health considerations, derivation of the MAVs for health significant determinands and Guideline Values for aesthetic determinands, and references for further reading.</w:t>
      </w:r>
      <w:r>
        <w:t xml:space="preserve"> Datasheets for determinands of possible health and aesthetic significance and are included for general information.</w:t>
      </w:r>
    </w:p>
    <w:p w14:paraId="041E328A" w14:textId="77777777" w:rsidR="003741ED" w:rsidRDefault="003741ED" w:rsidP="006A6B09"/>
    <w:p w14:paraId="041E328B" w14:textId="77777777" w:rsidR="003741ED" w:rsidRPr="00A41417" w:rsidRDefault="003741ED" w:rsidP="006A6B09">
      <w:pPr>
        <w:pStyle w:val="Heading3"/>
      </w:pPr>
      <w:bookmarkStart w:id="177" w:name="_Toc362013210"/>
      <w:bookmarkStart w:id="178" w:name="_Toc364704311"/>
      <w:bookmarkStart w:id="179" w:name="_Toc2333451"/>
      <w:bookmarkStart w:id="180" w:name="_Toc8979336"/>
      <w:r>
        <w:t>Water safety</w:t>
      </w:r>
      <w:r w:rsidRPr="00320B23">
        <w:t xml:space="preserve"> plans</w:t>
      </w:r>
      <w:bookmarkEnd w:id="177"/>
      <w:bookmarkEnd w:id="178"/>
      <w:bookmarkEnd w:id="179"/>
      <w:bookmarkEnd w:id="180"/>
    </w:p>
    <w:p w14:paraId="041E328C" w14:textId="77777777" w:rsidR="003741ED" w:rsidRDefault="003741ED" w:rsidP="006A6B09">
      <w:r w:rsidRPr="002C5CC3">
        <w:t xml:space="preserve">The introduction of </w:t>
      </w:r>
      <w:r w:rsidRPr="004E2F49">
        <w:t>public health risk management plans</w:t>
      </w:r>
      <w:r w:rsidRPr="002C5CC3">
        <w:t xml:space="preserve"> </w:t>
      </w:r>
      <w:r>
        <w:t>(</w:t>
      </w:r>
      <w:r w:rsidRPr="002C5CC3">
        <w:t>PHRMPs</w:t>
      </w:r>
      <w:r>
        <w:t xml:space="preserve"> – now known as Water Safety Plans)</w:t>
      </w:r>
      <w:r w:rsidRPr="002C5CC3">
        <w:t xml:space="preserve"> in 2001 marked the transition from drinking-water quality management procedures from purely quality control (monitoring compliance </w:t>
      </w:r>
      <w:r>
        <w:t>against</w:t>
      </w:r>
      <w:r w:rsidRPr="002C5CC3">
        <w:t xml:space="preserve"> product quality standards) to a combination of QC </w:t>
      </w:r>
      <w:r>
        <w:t>and</w:t>
      </w:r>
      <w:r w:rsidRPr="002C5CC3">
        <w:t xml:space="preserve"> quality assurance </w:t>
      </w:r>
      <w:r>
        <w:t xml:space="preserve">(QA). </w:t>
      </w:r>
      <w:r w:rsidRPr="002C5CC3">
        <w:t xml:space="preserve">Prior to 2001 public health management of supplies relied largely on </w:t>
      </w:r>
      <w:r>
        <w:t xml:space="preserve">compliance </w:t>
      </w:r>
      <w:r w:rsidRPr="002C5CC3">
        <w:t xml:space="preserve">monitoring </w:t>
      </w:r>
      <w:r>
        <w:t xml:space="preserve">of </w:t>
      </w:r>
      <w:r w:rsidRPr="002C5CC3">
        <w:t>the quality of the water produced by individual water suppliers to check that it complied with the DWSNZ.</w:t>
      </w:r>
      <w:r>
        <w:t xml:space="preserve"> </w:t>
      </w:r>
      <w:r w:rsidRPr="002C5CC3">
        <w:t xml:space="preserve">While monitoring is always important, </w:t>
      </w:r>
      <w:r>
        <w:t>WSP</w:t>
      </w:r>
      <w:r w:rsidRPr="002C5CC3">
        <w:t xml:space="preserve">s for drinking-water supplies provide the additional benefit of introducing management procedures that reduce the likelihood of contaminants entering supplies in the first place. </w:t>
      </w:r>
      <w:r>
        <w:t>B</w:t>
      </w:r>
      <w:r w:rsidRPr="002C5CC3">
        <w:t>y the time monitoring shows that contaminants are present, something has already gone wrong and a hazard is already present in the water.</w:t>
      </w:r>
      <w:r>
        <w:t xml:space="preserve"> But identifying and managing risks should prevent hazards arising.</w:t>
      </w:r>
    </w:p>
    <w:p w14:paraId="041E328D" w14:textId="77777777" w:rsidR="003741ED" w:rsidRDefault="003741ED" w:rsidP="006A6B09"/>
    <w:p w14:paraId="041E328E" w14:textId="77777777" w:rsidR="003741ED" w:rsidRPr="002C5CC3" w:rsidRDefault="003741ED" w:rsidP="006A6B09">
      <w:r>
        <w:t>WSP</w:t>
      </w:r>
      <w:r w:rsidRPr="002C5CC3">
        <w:t>s encourage the use of risk-management principles during treatment and distribution so that monitoring is not the only water quality management technique used thereby further reducing the risk of contamination.</w:t>
      </w:r>
    </w:p>
    <w:p w14:paraId="041E328F" w14:textId="77777777" w:rsidR="003741ED" w:rsidRPr="002C5CC3" w:rsidRDefault="003741ED" w:rsidP="006A6B09"/>
    <w:p w14:paraId="041E3290" w14:textId="77777777" w:rsidR="003741ED" w:rsidRPr="002C5CC3" w:rsidRDefault="003741ED" w:rsidP="006A6B09">
      <w:r w:rsidRPr="002C5CC3">
        <w:t xml:space="preserve">To assist drinking-water suppliers to develop </w:t>
      </w:r>
      <w:r>
        <w:t>WSP</w:t>
      </w:r>
      <w:r w:rsidRPr="002C5CC3">
        <w:t>s for their drinking-water the Ministry of Health produced 39 PHRMP Guides covering the system elements (</w:t>
      </w:r>
      <w:r>
        <w:t xml:space="preserve">eg, </w:t>
      </w:r>
      <w:r w:rsidRPr="002C5CC3">
        <w:t>filtration, disinfection, water storage, distribution etc) that are most frequently found in drinking-water supplies.</w:t>
      </w:r>
      <w:r>
        <w:t xml:space="preserve"> </w:t>
      </w:r>
      <w:r w:rsidRPr="002C5CC3">
        <w:t xml:space="preserve">The model PHRMP Guides are available at </w:t>
      </w:r>
      <w:hyperlink r:id="rId31" w:history="1">
        <w:r w:rsidRPr="005D0217">
          <w:rPr>
            <w:rStyle w:val="Hyperlink"/>
          </w:rPr>
          <w:t>http://www.health.govt.nz/water</w:t>
        </w:r>
      </w:hyperlink>
      <w:r w:rsidRPr="002C5CC3">
        <w:t xml:space="preserve"> then select publications and Public Health Risk Manag</w:t>
      </w:r>
      <w:r>
        <w:t>ement Plans ~ Reference Guides. WSP</w:t>
      </w:r>
      <w:r w:rsidRPr="002C5CC3">
        <w:t>s are discussed in detail in Chapter 2: Management of Community Supplies.</w:t>
      </w:r>
    </w:p>
    <w:p w14:paraId="041E3291" w14:textId="77777777" w:rsidR="003741ED" w:rsidRPr="002C5CC3" w:rsidRDefault="003741ED" w:rsidP="006A6B09"/>
    <w:p w14:paraId="041E3292" w14:textId="77777777" w:rsidR="003741ED" w:rsidRPr="002C5CC3" w:rsidRDefault="003741ED" w:rsidP="006A6B09">
      <w:r w:rsidRPr="002C5CC3">
        <w:t xml:space="preserve">The first item, How to prepare and develop public health risk management plans for drinking-water supplies should be read before using any of the PHRMP Guides because it explains the risk management process and how the different guides are intended to be used to build up a </w:t>
      </w:r>
      <w:r>
        <w:t>WSP</w:t>
      </w:r>
      <w:r w:rsidRPr="002C5CC3">
        <w:t xml:space="preserve"> for a particular water supply.</w:t>
      </w:r>
    </w:p>
    <w:p w14:paraId="041E3293" w14:textId="77777777" w:rsidR="003741ED" w:rsidRPr="002C5CC3" w:rsidRDefault="003741ED" w:rsidP="006A6B09"/>
    <w:p w14:paraId="041E3294" w14:textId="77777777" w:rsidR="003741ED" w:rsidRDefault="003741ED" w:rsidP="006A6B09">
      <w:r w:rsidRPr="002C5CC3">
        <w:t xml:space="preserve">Subsequently, in 2005, simplified </w:t>
      </w:r>
      <w:r>
        <w:t>WSP</w:t>
      </w:r>
      <w:r w:rsidRPr="002C5CC3">
        <w:t xml:space="preserve"> procedures and multi-media training material were deve</w:t>
      </w:r>
      <w:r w:rsidRPr="00D30E50">
        <w:t>l</w:t>
      </w:r>
      <w:r w:rsidRPr="002C5CC3">
        <w:t>oped especially for use by small water supplies and published, together with related training CDs, as an integral part of the DWAP TAP.</w:t>
      </w:r>
    </w:p>
    <w:p w14:paraId="041E3295" w14:textId="77777777" w:rsidR="003741ED" w:rsidRPr="002C5CC3" w:rsidRDefault="003741ED" w:rsidP="006A6B09"/>
    <w:p w14:paraId="041E3296" w14:textId="77777777" w:rsidR="003741ED" w:rsidRDefault="003741ED" w:rsidP="006A6B09">
      <w:r w:rsidRPr="002C5CC3">
        <w:t xml:space="preserve">All but the smallest community water supplies are required to prepare and implement a </w:t>
      </w:r>
      <w:r>
        <w:t>WSP</w:t>
      </w:r>
      <w:r w:rsidRPr="002C5CC3">
        <w:t xml:space="preserve"> (HDWAA section 69Z).</w:t>
      </w:r>
      <w:r>
        <w:t xml:space="preserve"> </w:t>
      </w:r>
      <w:r w:rsidRPr="002C5CC3">
        <w:t xml:space="preserve">The timetable for compliance with this requirement is set out in HDWAA sections 69C to </w:t>
      </w:r>
      <w:r w:rsidR="006A6B09">
        <w:t>69</w:t>
      </w:r>
      <w:r w:rsidRPr="002C5CC3">
        <w:t>F.</w:t>
      </w:r>
      <w:r>
        <w:t xml:space="preserve"> </w:t>
      </w:r>
      <w:r w:rsidRPr="002C5CC3">
        <w:t xml:space="preserve">Water supplies that are smaller than neighbourhood supplies (usually smaller than 25 persons) are not required to have </w:t>
      </w:r>
      <w:r>
        <w:t>WSP</w:t>
      </w:r>
      <w:r w:rsidRPr="002C5CC3">
        <w:t>s unless specifically required to do so by the Medical Officer of Health.</w:t>
      </w:r>
    </w:p>
    <w:p w14:paraId="041E3297" w14:textId="77777777" w:rsidR="003741ED" w:rsidRPr="002C5CC3" w:rsidRDefault="003741ED" w:rsidP="006A6B09"/>
    <w:p w14:paraId="041E3298" w14:textId="77777777" w:rsidR="003741ED" w:rsidRPr="002C5CC3" w:rsidRDefault="003741ED" w:rsidP="006A6B09">
      <w:r w:rsidRPr="002C5CC3">
        <w:t xml:space="preserve">The preparation of an approved </w:t>
      </w:r>
      <w:r>
        <w:t>WSP</w:t>
      </w:r>
      <w:r w:rsidRPr="002C5CC3">
        <w:t xml:space="preserve"> by a drinking-water supplier provides one way of demonstrating that all practicable steps have been taken to meet the requirements of the proposed drinking-water legislation (HDWAA section 69H), because it:</w:t>
      </w:r>
    </w:p>
    <w:p w14:paraId="041E3299" w14:textId="77777777" w:rsidR="003741ED" w:rsidRPr="00024B34" w:rsidRDefault="003741ED" w:rsidP="006A6B09">
      <w:pPr>
        <w:pStyle w:val="Bullet"/>
      </w:pPr>
      <w:r w:rsidRPr="00024B34">
        <w:t>identifies the nature and magnitude of public health risks inherent in the water supply process</w:t>
      </w:r>
    </w:p>
    <w:p w14:paraId="041E329A" w14:textId="77777777" w:rsidR="003741ED" w:rsidRPr="002C5CC3" w:rsidRDefault="003741ED" w:rsidP="006A6B09">
      <w:pPr>
        <w:pStyle w:val="Bullet"/>
      </w:pPr>
      <w:r w:rsidRPr="002C5CC3">
        <w:t>specifies what preventive and corrective procedures should be in place to manage/mitigate each risk</w:t>
      </w:r>
    </w:p>
    <w:p w14:paraId="041E329B" w14:textId="77777777" w:rsidR="003741ED" w:rsidRPr="002C5CC3" w:rsidRDefault="003741ED" w:rsidP="006A6B09">
      <w:pPr>
        <w:pStyle w:val="Bullet"/>
      </w:pPr>
      <w:r w:rsidRPr="002C5CC3">
        <w:t>identifies what will be done by the supplier to mitigate the risks</w:t>
      </w:r>
    </w:p>
    <w:p w14:paraId="041E329C" w14:textId="77777777" w:rsidR="003741ED" w:rsidRPr="00024B34" w:rsidRDefault="003741ED" w:rsidP="006A6B09">
      <w:pPr>
        <w:pStyle w:val="Bullet"/>
        <w:rPr>
          <w:spacing w:val="-4"/>
        </w:rPr>
      </w:pPr>
      <w:r w:rsidRPr="00024B34">
        <w:rPr>
          <w:spacing w:val="-4"/>
        </w:rPr>
        <w:t>identifies what the supplier is not able to do to mitigate the risks because of resource limitations.</w:t>
      </w:r>
    </w:p>
    <w:p w14:paraId="041E329D" w14:textId="77777777" w:rsidR="003741ED" w:rsidRDefault="003741ED" w:rsidP="006A6B09"/>
    <w:p w14:paraId="041E329E" w14:textId="77777777" w:rsidR="003741ED" w:rsidRPr="00320B23" w:rsidRDefault="003741ED" w:rsidP="006A6B09">
      <w:pPr>
        <w:pStyle w:val="Heading3"/>
      </w:pPr>
      <w:bookmarkStart w:id="181" w:name="_Toc362013211"/>
      <w:bookmarkStart w:id="182" w:name="_Toc364704312"/>
      <w:bookmarkStart w:id="183" w:name="_Toc2333452"/>
      <w:bookmarkStart w:id="184" w:name="_Toc8979337"/>
      <w:r>
        <w:t>P</w:t>
      </w:r>
      <w:r w:rsidRPr="00320B23">
        <w:t>ublic health grading of drinking-water supplies</w:t>
      </w:r>
      <w:bookmarkEnd w:id="181"/>
      <w:bookmarkEnd w:id="182"/>
      <w:bookmarkEnd w:id="183"/>
      <w:bookmarkEnd w:id="184"/>
    </w:p>
    <w:p w14:paraId="041E329F" w14:textId="77777777" w:rsidR="003741ED" w:rsidRDefault="003741ED" w:rsidP="005959EC">
      <w:pPr>
        <w:keepNext/>
        <w:rPr>
          <w:lang w:eastAsia="en-US"/>
        </w:rPr>
      </w:pPr>
      <w:r w:rsidRPr="004F63A6">
        <w:rPr>
          <w:lang w:eastAsia="en-US"/>
        </w:rPr>
        <w:t xml:space="preserve">The grading of community drinking-water supplies is a voluntary system that has been in place in various forms since 1962. The current grading system was updated in 2003 to incorporate changes introduced by the </w:t>
      </w:r>
      <w:r w:rsidRPr="004F63A6">
        <w:rPr>
          <w:i/>
          <w:lang w:eastAsia="en-US"/>
        </w:rPr>
        <w:t>Drinking-</w:t>
      </w:r>
      <w:r>
        <w:rPr>
          <w:i/>
          <w:lang w:eastAsia="en-US"/>
        </w:rPr>
        <w:t>w</w:t>
      </w:r>
      <w:r w:rsidRPr="004F63A6">
        <w:rPr>
          <w:i/>
          <w:lang w:eastAsia="en-US"/>
        </w:rPr>
        <w:t>ater Standards for New Zealand 2000</w:t>
      </w:r>
      <w:r w:rsidRPr="004F63A6">
        <w:rPr>
          <w:lang w:eastAsia="en-US"/>
        </w:rPr>
        <w:t>.</w:t>
      </w:r>
      <w:r>
        <w:rPr>
          <w:lang w:eastAsia="en-US"/>
        </w:rPr>
        <w:t xml:space="preserve"> </w:t>
      </w:r>
      <w:r w:rsidRPr="004F63A6">
        <w:rPr>
          <w:lang w:eastAsia="en-US"/>
        </w:rPr>
        <w:t>There is no requirement for a water supplier to participate in grading.</w:t>
      </w:r>
      <w:r>
        <w:rPr>
          <w:lang w:eastAsia="en-US"/>
        </w:rPr>
        <w:t xml:space="preserve"> </w:t>
      </w:r>
      <w:r w:rsidRPr="004F63A6">
        <w:rPr>
          <w:lang w:eastAsia="en-US"/>
        </w:rPr>
        <w:t xml:space="preserve">If a water supplier chooses not to be graded, the supplier is recorded in the </w:t>
      </w:r>
      <w:r w:rsidRPr="004F63A6">
        <w:rPr>
          <w:i/>
          <w:lang w:eastAsia="en-US"/>
        </w:rPr>
        <w:t>Register of Drinking-</w:t>
      </w:r>
      <w:r>
        <w:rPr>
          <w:i/>
          <w:lang w:eastAsia="en-US"/>
        </w:rPr>
        <w:t>w</w:t>
      </w:r>
      <w:r w:rsidRPr="004F63A6">
        <w:rPr>
          <w:i/>
          <w:lang w:eastAsia="en-US"/>
        </w:rPr>
        <w:t>ater Supplies in New Zealand</w:t>
      </w:r>
      <w:r w:rsidRPr="004F63A6">
        <w:rPr>
          <w:lang w:eastAsia="en-US"/>
        </w:rPr>
        <w:t xml:space="preserve"> as being ungraded.</w:t>
      </w:r>
    </w:p>
    <w:p w14:paraId="041E32A0" w14:textId="77777777" w:rsidR="003741ED" w:rsidRDefault="003741ED" w:rsidP="006A6B09">
      <w:pPr>
        <w:rPr>
          <w:lang w:eastAsia="en-US"/>
        </w:rPr>
      </w:pPr>
    </w:p>
    <w:p w14:paraId="041E32A1" w14:textId="77777777" w:rsidR="003741ED" w:rsidRDefault="003741ED" w:rsidP="006A6B09">
      <w:pPr>
        <w:rPr>
          <w:lang w:eastAsia="en-US"/>
        </w:rPr>
      </w:pPr>
      <w:r w:rsidRPr="004F63A6">
        <w:rPr>
          <w:lang w:eastAsia="en-US"/>
        </w:rPr>
        <w:t>In 2008, following the amendments to the Health Act 1956 that introduced a statutory compliance regime for drinking-water supplies, ESR Ltd surveyed water supply stakeholders to see if there was support for a new grading framework. The survey found that grading was still regarded by water suppliers as an important tool, and the purpose of providing a public statement of safety was still desirable. Stakeholders agreed however that the existing framework did not satisfactorily account for risk.</w:t>
      </w:r>
      <w:r>
        <w:rPr>
          <w:lang w:eastAsia="en-US"/>
        </w:rPr>
        <w:t xml:space="preserve"> </w:t>
      </w:r>
      <w:r w:rsidRPr="004F63A6">
        <w:rPr>
          <w:lang w:eastAsia="en-US"/>
        </w:rPr>
        <w:t xml:space="preserve">It had no provision for </w:t>
      </w:r>
      <w:r>
        <w:rPr>
          <w:lang w:eastAsia="en-US"/>
        </w:rPr>
        <w:t>water safety</w:t>
      </w:r>
      <w:r w:rsidRPr="004F63A6">
        <w:rPr>
          <w:lang w:eastAsia="en-US"/>
        </w:rPr>
        <w:t xml:space="preserve"> plans (</w:t>
      </w:r>
      <w:r>
        <w:rPr>
          <w:lang w:eastAsia="en-US"/>
        </w:rPr>
        <w:t>WSP</w:t>
      </w:r>
      <w:r w:rsidRPr="004F63A6">
        <w:rPr>
          <w:lang w:eastAsia="en-US"/>
        </w:rPr>
        <w:t xml:space="preserve">s), or for the requirements of the </w:t>
      </w:r>
      <w:r w:rsidRPr="004F63A6">
        <w:rPr>
          <w:i/>
          <w:lang w:eastAsia="en-US"/>
        </w:rPr>
        <w:t>Drinking-</w:t>
      </w:r>
      <w:r>
        <w:rPr>
          <w:i/>
          <w:lang w:eastAsia="en-US"/>
        </w:rPr>
        <w:t>w</w:t>
      </w:r>
      <w:r w:rsidRPr="004F63A6">
        <w:rPr>
          <w:i/>
          <w:lang w:eastAsia="en-US"/>
        </w:rPr>
        <w:t>ater Standards for New Zealand 2005 (revised 2008)</w:t>
      </w:r>
      <w:r w:rsidRPr="004F63A6">
        <w:rPr>
          <w:lang w:eastAsia="en-US"/>
        </w:rPr>
        <w:t>.</w:t>
      </w:r>
    </w:p>
    <w:p w14:paraId="041E32A2" w14:textId="77777777" w:rsidR="003741ED" w:rsidRDefault="003741ED" w:rsidP="006A6B09">
      <w:pPr>
        <w:rPr>
          <w:lang w:eastAsia="en-US"/>
        </w:rPr>
      </w:pPr>
    </w:p>
    <w:p w14:paraId="041E32A3" w14:textId="77777777" w:rsidR="003741ED" w:rsidRPr="004F63A6" w:rsidRDefault="003741ED" w:rsidP="006A6B09">
      <w:pPr>
        <w:rPr>
          <w:lang w:eastAsia="en-US"/>
        </w:rPr>
      </w:pPr>
      <w:r>
        <w:rPr>
          <w:lang w:eastAsia="en-US"/>
        </w:rPr>
        <w:t>At the time of writing the consultation on revision of the Grading Framework had closed with submissions being analysed.</w:t>
      </w:r>
    </w:p>
    <w:p w14:paraId="041E32A4" w14:textId="77777777" w:rsidR="003741ED" w:rsidRDefault="003741ED" w:rsidP="006A6B09"/>
    <w:p w14:paraId="041E32A5" w14:textId="77777777" w:rsidR="003741ED" w:rsidRPr="00320B23" w:rsidRDefault="003741ED" w:rsidP="006A6B09">
      <w:pPr>
        <w:pStyle w:val="Heading3"/>
      </w:pPr>
      <w:bookmarkStart w:id="185" w:name="_Toc362013212"/>
      <w:bookmarkStart w:id="186" w:name="_Toc364704313"/>
      <w:bookmarkStart w:id="187" w:name="_Toc2333453"/>
      <w:bookmarkStart w:id="188" w:name="_Toc8979338"/>
      <w:r>
        <w:t>D</w:t>
      </w:r>
      <w:r w:rsidRPr="00320B23">
        <w:t>rinking-water assessment</w:t>
      </w:r>
      <w:bookmarkEnd w:id="185"/>
      <w:bookmarkEnd w:id="186"/>
      <w:bookmarkEnd w:id="187"/>
      <w:bookmarkEnd w:id="188"/>
    </w:p>
    <w:p w14:paraId="041E32A6" w14:textId="77777777" w:rsidR="003741ED" w:rsidRDefault="003741ED" w:rsidP="006A6B09">
      <w:r w:rsidRPr="00DB08B6">
        <w:t xml:space="preserve">The role of the </w:t>
      </w:r>
      <w:r>
        <w:t>Drinking-water Assessors (</w:t>
      </w:r>
      <w:r w:rsidRPr="00DB08B6">
        <w:t>DWAs</w:t>
      </w:r>
      <w:r>
        <w:t>)</w:t>
      </w:r>
      <w:r w:rsidRPr="00DB08B6">
        <w:t xml:space="preserve"> is to verify that that the requirements of the </w:t>
      </w:r>
      <w:r>
        <w:t xml:space="preserve">Health Act 1956 as they relate to drinking-water </w:t>
      </w:r>
      <w:r w:rsidRPr="00DB08B6">
        <w:t>have been complied</w:t>
      </w:r>
      <w:r>
        <w:t xml:space="preserve"> with</w:t>
      </w:r>
      <w:r w:rsidRPr="00DB08B6">
        <w:t>.</w:t>
      </w:r>
      <w:r>
        <w:t xml:space="preserve"> </w:t>
      </w:r>
      <w:r w:rsidRPr="00DB08B6">
        <w:t xml:space="preserve">The </w:t>
      </w:r>
      <w:r>
        <w:t>DWAs</w:t>
      </w:r>
      <w:r w:rsidRPr="00DB08B6">
        <w:t xml:space="preserve"> are appointed by the Director-General of Health, and have the following set of tasks</w:t>
      </w:r>
      <w:r w:rsidRPr="004A44DC">
        <w:t xml:space="preserve"> </w:t>
      </w:r>
      <w:r>
        <w:t>and their</w:t>
      </w:r>
      <w:r w:rsidRPr="00DB08B6">
        <w:t xml:space="preserve"> functions are set out in section 69ZL</w:t>
      </w:r>
      <w:r>
        <w:t xml:space="preserve"> of the Act.</w:t>
      </w:r>
    </w:p>
    <w:p w14:paraId="041E32A7" w14:textId="77777777" w:rsidR="003741ED" w:rsidRPr="00DB08B6" w:rsidRDefault="003741ED" w:rsidP="006A6B09"/>
    <w:p w14:paraId="041E32A8" w14:textId="77777777" w:rsidR="003741ED" w:rsidRPr="00DB08B6" w:rsidRDefault="003741ED" w:rsidP="006A6B09">
      <w:r>
        <w:t>DWAs are</w:t>
      </w:r>
      <w:r w:rsidRPr="00DB08B6">
        <w:t xml:space="preserve"> located in </w:t>
      </w:r>
      <w:r>
        <w:t>District Health Board public health units</w:t>
      </w:r>
      <w:r w:rsidRPr="00DB08B6">
        <w:t xml:space="preserve"> </w:t>
      </w:r>
      <w:r>
        <w:t xml:space="preserve">and </w:t>
      </w:r>
      <w:r w:rsidRPr="00DB08B6">
        <w:t>are accredited as authorised signatories.</w:t>
      </w:r>
      <w:r>
        <w:t xml:space="preserve"> Maintenance and public access to a</w:t>
      </w:r>
      <w:r w:rsidRPr="00DB08B6">
        <w:t xml:space="preserve"> Register </w:t>
      </w:r>
      <w:r>
        <w:t xml:space="preserve">of Drinking-water Assessors </w:t>
      </w:r>
      <w:r w:rsidRPr="00DB08B6">
        <w:t xml:space="preserve">is a requirement of </w:t>
      </w:r>
      <w:r>
        <w:t>the Act’s</w:t>
      </w:r>
      <w:r w:rsidRPr="00DB08B6">
        <w:t xml:space="preserve"> </w:t>
      </w:r>
      <w:r>
        <w:t>s</w:t>
      </w:r>
      <w:r w:rsidRPr="00DB08B6">
        <w:t>ection 69ZX.</w:t>
      </w:r>
      <w:r>
        <w:t xml:space="preserve"> The Register can be accessed at: </w:t>
      </w:r>
      <w:hyperlink r:id="rId32" w:history="1">
        <w:r w:rsidRPr="00264789">
          <w:rPr>
            <w:rStyle w:val="Hyperlink"/>
          </w:rPr>
          <w:t>http://www.</w:t>
        </w:r>
        <w:r w:rsidRPr="00F72FB7">
          <w:rPr>
            <w:rStyle w:val="Hyperlink"/>
          </w:rPr>
          <w:t>health</w:t>
        </w:r>
        <w:r w:rsidRPr="004F63A6">
          <w:rPr>
            <w:rStyle w:val="Hyperlink"/>
          </w:rPr>
          <w:t>.govt.nz/water</w:t>
        </w:r>
      </w:hyperlink>
      <w:r>
        <w:t xml:space="preserve"> then select legislation.</w:t>
      </w:r>
    </w:p>
    <w:p w14:paraId="041E32A9" w14:textId="77777777" w:rsidR="003741ED" w:rsidRPr="00DB08B6" w:rsidRDefault="003741ED" w:rsidP="006A6B09"/>
    <w:p w14:paraId="041E32AA" w14:textId="77777777" w:rsidR="003741ED" w:rsidRPr="00320B23" w:rsidRDefault="003741ED" w:rsidP="006A6B09">
      <w:pPr>
        <w:pStyle w:val="Heading3"/>
      </w:pPr>
      <w:bookmarkStart w:id="189" w:name="_Toc362013213"/>
      <w:bookmarkStart w:id="190" w:name="_Toc364704314"/>
      <w:bookmarkStart w:id="191" w:name="_Toc2333454"/>
      <w:bookmarkStart w:id="192" w:name="_Toc8979339"/>
      <w:r w:rsidRPr="00320B23">
        <w:t>M</w:t>
      </w:r>
      <w:r>
        <w:t>onitoring</w:t>
      </w:r>
      <w:bookmarkEnd w:id="189"/>
      <w:bookmarkEnd w:id="190"/>
      <w:bookmarkEnd w:id="191"/>
      <w:bookmarkEnd w:id="192"/>
    </w:p>
    <w:p w14:paraId="041E32AB" w14:textId="77777777" w:rsidR="003741ED" w:rsidRPr="004E2F49" w:rsidRDefault="003741ED" w:rsidP="006A6B09">
      <w:r w:rsidRPr="004E2F49">
        <w:t>Assesses the extent to which a drinking-water supply complies with the DWSNZ at the time of monitoring.</w:t>
      </w:r>
    </w:p>
    <w:p w14:paraId="041E32AC" w14:textId="77777777" w:rsidR="003741ED" w:rsidRPr="00DB08B6" w:rsidRDefault="003741ED" w:rsidP="006A6B09"/>
    <w:p w14:paraId="041E32AD" w14:textId="77777777" w:rsidR="003741ED" w:rsidRPr="00DB08B6" w:rsidRDefault="003741ED" w:rsidP="003741ED">
      <w:r w:rsidRPr="00DB08B6">
        <w:t>Monitoring of the quality of a community drinking-water supply was made the respon</w:t>
      </w:r>
      <w:r w:rsidRPr="006A6B09">
        <w:t>s</w:t>
      </w:r>
      <w:r w:rsidRPr="00DB08B6">
        <w:t>ibility of the drinking-water supplier in the DWSNZ 1995.</w:t>
      </w:r>
      <w:r>
        <w:t xml:space="preserve"> </w:t>
      </w:r>
      <w:r w:rsidRPr="00DB08B6">
        <w:t>Previously, under the DWSNZ 1984, monitoring had been carried out by the (then) Department of Health.</w:t>
      </w:r>
    </w:p>
    <w:p w14:paraId="041E32AE" w14:textId="77777777" w:rsidR="003741ED" w:rsidRPr="00DB08B6" w:rsidRDefault="003741ED" w:rsidP="006A6B09"/>
    <w:p w14:paraId="041E32AF" w14:textId="77777777" w:rsidR="003741ED" w:rsidRPr="00DB08B6" w:rsidRDefault="003741ED" w:rsidP="005959EC">
      <w:pPr>
        <w:keepLines/>
      </w:pPr>
      <w:r w:rsidRPr="00DB08B6">
        <w:t>To demonstrate compliance with the DWSNZ, the Priority 1 and 2 determinands have to be monitored according to the protocols set down in the DWSNZ.</w:t>
      </w:r>
      <w:r>
        <w:t xml:space="preserve"> </w:t>
      </w:r>
      <w:r w:rsidRPr="00DB08B6">
        <w:t>The DWSNZ specify the minimum frequency of compliance monitoring.</w:t>
      </w:r>
      <w:r>
        <w:t xml:space="preserve"> </w:t>
      </w:r>
      <w:r w:rsidRPr="00DB08B6">
        <w:t>Water suppliers also conduct process control testing and quality assurance monitoring as part of their day-to-day management.</w:t>
      </w:r>
      <w:r>
        <w:t xml:space="preserve"> Process control test results can be used for compliance monitoring if the procedure used complies with the requirements of the DWSNZ.</w:t>
      </w:r>
    </w:p>
    <w:p w14:paraId="041E32B0" w14:textId="77777777" w:rsidR="003741ED" w:rsidRDefault="003741ED" w:rsidP="006A6B09"/>
    <w:p w14:paraId="041E32B1" w14:textId="77777777" w:rsidR="003741ED" w:rsidRPr="00320B23" w:rsidRDefault="003741ED" w:rsidP="006A6B09">
      <w:pPr>
        <w:pStyle w:val="Heading3"/>
      </w:pPr>
      <w:bookmarkStart w:id="193" w:name="_Toc362013214"/>
      <w:bookmarkStart w:id="194" w:name="_Toc364704315"/>
      <w:bookmarkStart w:id="195" w:name="_Toc2333455"/>
      <w:bookmarkStart w:id="196" w:name="_Toc8979340"/>
      <w:r w:rsidRPr="00320B23">
        <w:t>S</w:t>
      </w:r>
      <w:r>
        <w:t>urveillance</w:t>
      </w:r>
      <w:bookmarkEnd w:id="193"/>
      <w:bookmarkEnd w:id="194"/>
      <w:bookmarkEnd w:id="195"/>
      <w:bookmarkEnd w:id="196"/>
    </w:p>
    <w:p w14:paraId="041E32B2" w14:textId="77777777" w:rsidR="003741ED" w:rsidRDefault="003741ED" w:rsidP="00AA3E21">
      <w:r w:rsidRPr="00560F10">
        <w:t>Surveillance requires a systematic programme of surveys, which may include auditing, analysis, sanitary inspection and institutional and community aspects. It should cover the whole of the drinking-water system, including sources and activities in the catchment, transmission infrastructure, treatment plants, storage reservoirs and distribution systems (whether piped or unpiped)</w:t>
      </w:r>
      <w:r w:rsidR="00AA3E21">
        <w:t xml:space="preserve"> (</w:t>
      </w:r>
      <w:r>
        <w:t>WHO 2017).</w:t>
      </w:r>
    </w:p>
    <w:p w14:paraId="041E32B3" w14:textId="77777777" w:rsidR="003741ED" w:rsidRDefault="003741ED" w:rsidP="00AA3E21"/>
    <w:p w14:paraId="041E32B4" w14:textId="77777777" w:rsidR="003741ED" w:rsidRDefault="003741ED" w:rsidP="00AA3E21">
      <w:r w:rsidRPr="004E2F49">
        <w:t>The definition of surveillance in the DWSNZ is: the process of checking that the management of drinking-water supplies conforms to the specifications in the Drinking-water Standards for New Zealand (DWSNZ)</w:t>
      </w:r>
      <w:r>
        <w:t>;</w:t>
      </w:r>
      <w:r w:rsidRPr="004E2F49">
        <w:t xml:space="preserve"> </w:t>
      </w:r>
      <w:r>
        <w:t>u</w:t>
      </w:r>
      <w:r w:rsidRPr="004E2F49">
        <w:t>sually conducted by the public health agency.</w:t>
      </w:r>
      <w:r>
        <w:t xml:space="preserve"> An example of surveillance is the process that results in a chemical determinand being assigned as a P2 (see next section).</w:t>
      </w:r>
    </w:p>
    <w:p w14:paraId="041E32B5" w14:textId="77777777" w:rsidR="003741ED" w:rsidRDefault="003741ED" w:rsidP="00AA3E21"/>
    <w:p w14:paraId="041E32B6" w14:textId="77777777" w:rsidR="003741ED" w:rsidRDefault="003741ED" w:rsidP="00AA3E21">
      <w:r>
        <w:t>The WHO Guidelines describe d</w:t>
      </w:r>
      <w:r w:rsidRPr="004E2F49">
        <w:t xml:space="preserve">rinking-water supply surveillance </w:t>
      </w:r>
      <w:r>
        <w:t>a</w:t>
      </w:r>
      <w:r w:rsidRPr="004E2F49">
        <w:t xml:space="preserve">s </w:t>
      </w:r>
      <w:r>
        <w:t>“</w:t>
      </w:r>
      <w:r w:rsidRPr="004E2F49">
        <w:t>the continuous and vigilant public health assessment and review of the safety and acceptability of drin</w:t>
      </w:r>
      <w:r>
        <w:t>king-water supplies”</w:t>
      </w:r>
      <w:r w:rsidRPr="004E2F49">
        <w:t>.</w:t>
      </w:r>
      <w:r>
        <w:t xml:space="preserve"> </w:t>
      </w:r>
      <w:r w:rsidRPr="004E2F49">
        <w:t>This surveillance contributes to the protection of public health by promoting improvement of the quality, quantity, accessibility, coverage, affordability and continuity of water supplies (known as service indicators) and is complementary to the quality control function of the drinking-water supplier.</w:t>
      </w:r>
      <w:r>
        <w:t xml:space="preserve"> </w:t>
      </w:r>
      <w:r w:rsidRPr="004E2F49">
        <w:t>Drinking-water supply surveillance does not remove or replace the responsibility of the drinking-water supplier to ensure that a drinking-water supply is of acceptable quality and meets predetermined health-based and other performance targets.</w:t>
      </w:r>
    </w:p>
    <w:p w14:paraId="041E32B7" w14:textId="77777777" w:rsidR="003741ED" w:rsidRDefault="003741ED" w:rsidP="00AA3E21"/>
    <w:p w14:paraId="041E32B8" w14:textId="77777777" w:rsidR="003741ED" w:rsidRPr="00320B23" w:rsidRDefault="003741ED" w:rsidP="00AA3E21">
      <w:pPr>
        <w:pStyle w:val="Heading3"/>
      </w:pPr>
      <w:bookmarkStart w:id="197" w:name="_Toc362013215"/>
      <w:bookmarkStart w:id="198" w:name="_Toc364704316"/>
      <w:bookmarkStart w:id="199" w:name="_Toc2333456"/>
      <w:bookmarkStart w:id="200" w:name="_Toc8979341"/>
      <w:r>
        <w:t xml:space="preserve">Identifying </w:t>
      </w:r>
      <w:r w:rsidRPr="00E66263">
        <w:t>priority 2 and priority 3 determinands</w:t>
      </w:r>
      <w:bookmarkEnd w:id="197"/>
      <w:bookmarkEnd w:id="198"/>
      <w:bookmarkEnd w:id="199"/>
      <w:bookmarkEnd w:id="200"/>
    </w:p>
    <w:p w14:paraId="041E32B9" w14:textId="77777777" w:rsidR="003741ED" w:rsidRPr="00E66263" w:rsidRDefault="003741ED" w:rsidP="00AA3E21">
      <w:r w:rsidRPr="00E66263">
        <w:t>Between 1995 and 2004, the Ministry of Health</w:t>
      </w:r>
      <w:r>
        <w:t>’</w:t>
      </w:r>
      <w:r w:rsidRPr="00E66263">
        <w:t xml:space="preserve">s Priority 2 Chemical Determinands Identification Programme assessed drinking-water supplies to identify which chemical determinands needed to be assigned as Priority 2 determinands. Since then water suppliers have been responsible for identifying </w:t>
      </w:r>
      <w:r w:rsidRPr="00E66263">
        <w:rPr>
          <w:rFonts w:cs="Georgia"/>
          <w:szCs w:val="22"/>
          <w:lang w:eastAsia="en-NZ"/>
        </w:rPr>
        <w:t>in their Water Safety Plan</w:t>
      </w:r>
      <w:r w:rsidRPr="00E66263">
        <w:t xml:space="preserve"> chemicals of health concern in their own water supplies as the drinking-water sections of the Health Act 1956 come into force for their supplies. </w:t>
      </w:r>
      <w:r w:rsidRPr="00E66263">
        <w:rPr>
          <w:szCs w:val="22"/>
        </w:rPr>
        <w:t xml:space="preserve">The procedure, with advice to help identify determinands that might be of concern, is described in </w:t>
      </w:r>
      <w:r w:rsidRPr="00E66263">
        <w:rPr>
          <w:i/>
        </w:rPr>
        <w:t>Priority 2 and Priority 3 Chemical Determinands Identification Guide</w:t>
      </w:r>
      <w:r w:rsidRPr="00E66263">
        <w:t>, produced by ESR for the Ministry in 2015.</w:t>
      </w:r>
    </w:p>
    <w:p w14:paraId="041E32BA" w14:textId="77777777" w:rsidR="003741ED" w:rsidRPr="00E66263" w:rsidRDefault="003741ED" w:rsidP="00AA3E21"/>
    <w:p w14:paraId="041E32BB" w14:textId="77777777" w:rsidR="003741ED" w:rsidRPr="00E66263" w:rsidRDefault="003741ED" w:rsidP="005959EC">
      <w:pPr>
        <w:keepLines/>
      </w:pPr>
      <w:r w:rsidRPr="00E66263">
        <w:t xml:space="preserve">The </w:t>
      </w:r>
      <w:r w:rsidRPr="00E66263">
        <w:rPr>
          <w:i/>
        </w:rPr>
        <w:t>Guide</w:t>
      </w:r>
      <w:r w:rsidRPr="00E66263">
        <w:t xml:space="preserve"> also includes </w:t>
      </w:r>
      <w:r w:rsidRPr="00E66263">
        <w:rPr>
          <w:u w:val="single"/>
        </w:rPr>
        <w:t>recommendations</w:t>
      </w:r>
      <w:r w:rsidRPr="00E66263">
        <w:t xml:space="preserve"> for monitoring Priority 3 determinands, because no </w:t>
      </w:r>
      <w:r w:rsidRPr="00E66263">
        <w:rPr>
          <w:u w:val="single"/>
        </w:rPr>
        <w:t>requirements</w:t>
      </w:r>
      <w:r w:rsidRPr="00E66263">
        <w:t xml:space="preserve"> for sampling Priority 3 determinands are contained in the DWSNZ. However, there are situations in which sampling for them is a necessary part of good public health risk management. For example, where a determinand is present at concentrations near the MAV in the source water, its concentration in the distribution zone may be reduced to a level less than 50</w:t>
      </w:r>
      <w:r w:rsidR="00AA3E21">
        <w:t> percent</w:t>
      </w:r>
      <w:r w:rsidRPr="00E66263">
        <w:t xml:space="preserve"> of the MAV by treatment. Changes in treatment efficacy could cause the determinand</w:t>
      </w:r>
      <w:r>
        <w:t>’</w:t>
      </w:r>
      <w:r w:rsidRPr="00E66263">
        <w:t>s concentration in the reticulated water to exceed 50</w:t>
      </w:r>
      <w:r w:rsidR="00AA3E21">
        <w:t> percent</w:t>
      </w:r>
      <w:r w:rsidRPr="00E66263">
        <w:t xml:space="preserve"> of the MAV.</w:t>
      </w:r>
    </w:p>
    <w:p w14:paraId="041E32BC" w14:textId="77777777" w:rsidR="003741ED" w:rsidRPr="00DB08B6" w:rsidRDefault="003741ED" w:rsidP="00AA3E21"/>
    <w:p w14:paraId="041E32BD" w14:textId="77777777" w:rsidR="003741ED" w:rsidRPr="00320B23" w:rsidRDefault="003741ED" w:rsidP="00AA3E21">
      <w:pPr>
        <w:pStyle w:val="Table"/>
      </w:pPr>
      <w:bookmarkStart w:id="201" w:name="_Toc339423073"/>
      <w:bookmarkStart w:id="202" w:name="_Toc339692330"/>
      <w:bookmarkStart w:id="203" w:name="_Toc339698640"/>
      <w:bookmarkStart w:id="204" w:name="_Toc349567961"/>
      <w:bookmarkStart w:id="205" w:name="_Toc364675928"/>
      <w:bookmarkStart w:id="206" w:name="_Toc2333600"/>
      <w:bookmarkStart w:id="207" w:name="_Toc8979358"/>
      <w:r w:rsidRPr="00320B23">
        <w:t xml:space="preserve">Table 1.5: Examples of priority allocation in the </w:t>
      </w:r>
      <w:bookmarkEnd w:id="201"/>
      <w:bookmarkEnd w:id="202"/>
      <w:bookmarkEnd w:id="203"/>
      <w:r w:rsidRPr="00320B23">
        <w:t>DWSNZ</w:t>
      </w:r>
      <w:r w:rsidRPr="00CC6519">
        <w:rPr>
          <w:rStyle w:val="FootnoteReference"/>
        </w:rPr>
        <w:footnoteReference w:id="11"/>
      </w:r>
      <w:bookmarkEnd w:id="204"/>
      <w:bookmarkEnd w:id="205"/>
      <w:bookmarkEnd w:id="206"/>
      <w:bookmarkEnd w:id="207"/>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268"/>
        <w:gridCol w:w="5812"/>
      </w:tblGrid>
      <w:tr w:rsidR="003741ED" w:rsidRPr="00AA3E21" w14:paraId="041E32C0" w14:textId="77777777" w:rsidTr="005959EC">
        <w:trPr>
          <w:cantSplit/>
          <w:tblHeader/>
        </w:trPr>
        <w:tc>
          <w:tcPr>
            <w:tcW w:w="2268" w:type="dxa"/>
            <w:tcBorders>
              <w:top w:val="nil"/>
              <w:bottom w:val="nil"/>
            </w:tcBorders>
            <w:shd w:val="clear" w:color="auto" w:fill="D9D9D9" w:themeFill="background1" w:themeFillShade="D9"/>
          </w:tcPr>
          <w:p w14:paraId="041E32BE" w14:textId="77777777" w:rsidR="003741ED" w:rsidRPr="00AA3E21" w:rsidRDefault="003741ED" w:rsidP="00AA3E21">
            <w:pPr>
              <w:pStyle w:val="TableText"/>
              <w:ind w:right="113"/>
              <w:rPr>
                <w:b/>
              </w:rPr>
            </w:pPr>
            <w:r w:rsidRPr="00AA3E21">
              <w:rPr>
                <w:b/>
              </w:rPr>
              <w:t>Priority</w:t>
            </w:r>
          </w:p>
        </w:tc>
        <w:tc>
          <w:tcPr>
            <w:tcW w:w="5812" w:type="dxa"/>
            <w:tcBorders>
              <w:top w:val="nil"/>
              <w:bottom w:val="nil"/>
            </w:tcBorders>
            <w:shd w:val="clear" w:color="auto" w:fill="D9D9D9" w:themeFill="background1" w:themeFillShade="D9"/>
          </w:tcPr>
          <w:p w14:paraId="041E32BF" w14:textId="77777777" w:rsidR="003741ED" w:rsidRPr="00AA3E21" w:rsidRDefault="003741ED" w:rsidP="00AA3E21">
            <w:pPr>
              <w:pStyle w:val="TableText"/>
              <w:rPr>
                <w:b/>
              </w:rPr>
            </w:pPr>
            <w:r w:rsidRPr="00AA3E21">
              <w:rPr>
                <w:b/>
              </w:rPr>
              <w:t>Example of determinands</w:t>
            </w:r>
          </w:p>
        </w:tc>
      </w:tr>
      <w:tr w:rsidR="003741ED" w:rsidRPr="00A13666" w14:paraId="041E32C6" w14:textId="77777777" w:rsidTr="005959EC">
        <w:trPr>
          <w:cantSplit/>
        </w:trPr>
        <w:tc>
          <w:tcPr>
            <w:tcW w:w="2268" w:type="dxa"/>
            <w:tcBorders>
              <w:top w:val="nil"/>
            </w:tcBorders>
            <w:shd w:val="clear" w:color="auto" w:fill="auto"/>
          </w:tcPr>
          <w:p w14:paraId="041E32C1" w14:textId="77777777" w:rsidR="003741ED" w:rsidRPr="00AA3E21" w:rsidRDefault="003741ED" w:rsidP="00AA3E21">
            <w:pPr>
              <w:pStyle w:val="TableText"/>
              <w:ind w:right="113"/>
              <w:rPr>
                <w:b/>
              </w:rPr>
            </w:pPr>
            <w:r w:rsidRPr="00AA3E21">
              <w:rPr>
                <w:b/>
              </w:rPr>
              <w:t>Priority 1</w:t>
            </w:r>
          </w:p>
          <w:p w14:paraId="041E32C2" w14:textId="77777777" w:rsidR="003741ED" w:rsidRPr="00A13666" w:rsidRDefault="003741ED" w:rsidP="00AA3E21">
            <w:pPr>
              <w:pStyle w:val="TableText"/>
              <w:ind w:right="113"/>
            </w:pPr>
            <w:r w:rsidRPr="00A13666">
              <w:t>Applies to all community drinking-water supplies</w:t>
            </w:r>
          </w:p>
        </w:tc>
        <w:tc>
          <w:tcPr>
            <w:tcW w:w="5812" w:type="dxa"/>
            <w:tcBorders>
              <w:top w:val="nil"/>
            </w:tcBorders>
            <w:shd w:val="clear" w:color="auto" w:fill="auto"/>
          </w:tcPr>
          <w:p w14:paraId="041E32C3" w14:textId="77777777" w:rsidR="003741ED" w:rsidRPr="00A13666" w:rsidRDefault="003741ED" w:rsidP="00AA3E21">
            <w:pPr>
              <w:pStyle w:val="TableText"/>
            </w:pPr>
            <w:r w:rsidRPr="004E2F49">
              <w:rPr>
                <w:i/>
              </w:rPr>
              <w:t>Escherichia coli</w:t>
            </w:r>
            <w:r w:rsidRPr="00A13666">
              <w:t xml:space="preserve"> (</w:t>
            </w:r>
            <w:r>
              <w:rPr>
                <w:i/>
              </w:rPr>
              <w:t>E. coli</w:t>
            </w:r>
            <w:r w:rsidRPr="00A13666">
              <w:t>)</w:t>
            </w:r>
          </w:p>
          <w:p w14:paraId="041E32C4" w14:textId="77777777" w:rsidR="003741ED" w:rsidRPr="00A13666" w:rsidRDefault="003741ED" w:rsidP="00AA3E21">
            <w:pPr>
              <w:pStyle w:val="TableText"/>
            </w:pPr>
            <w:r w:rsidRPr="004E2F49">
              <w:rPr>
                <w:i/>
              </w:rPr>
              <w:t>Giardia</w:t>
            </w:r>
          </w:p>
          <w:p w14:paraId="041E32C5" w14:textId="77777777" w:rsidR="003741ED" w:rsidRPr="00A13666" w:rsidRDefault="003741ED" w:rsidP="00AA3E21">
            <w:pPr>
              <w:pStyle w:val="TableText"/>
            </w:pPr>
            <w:r w:rsidRPr="004E2F49">
              <w:rPr>
                <w:i/>
              </w:rPr>
              <w:t>Cryptosporidium</w:t>
            </w:r>
          </w:p>
        </w:tc>
      </w:tr>
      <w:tr w:rsidR="003741ED" w:rsidRPr="00A13666" w14:paraId="041E32CC" w14:textId="77777777" w:rsidTr="005959EC">
        <w:trPr>
          <w:cantSplit/>
        </w:trPr>
        <w:tc>
          <w:tcPr>
            <w:tcW w:w="2268" w:type="dxa"/>
            <w:shd w:val="clear" w:color="auto" w:fill="auto"/>
          </w:tcPr>
          <w:p w14:paraId="041E32C7" w14:textId="77777777" w:rsidR="003741ED" w:rsidRPr="00AA3E21" w:rsidRDefault="003741ED" w:rsidP="00AA3E21">
            <w:pPr>
              <w:pStyle w:val="TableText"/>
              <w:ind w:right="113"/>
              <w:rPr>
                <w:b/>
              </w:rPr>
            </w:pPr>
            <w:r w:rsidRPr="00AA3E21">
              <w:rPr>
                <w:b/>
              </w:rPr>
              <w:t>Priority 2</w:t>
            </w:r>
          </w:p>
          <w:p w14:paraId="041E32C8" w14:textId="77777777" w:rsidR="003741ED" w:rsidRPr="00A13666" w:rsidRDefault="003741ED" w:rsidP="00AA3E21">
            <w:pPr>
              <w:pStyle w:val="TableText"/>
              <w:ind w:right="113"/>
            </w:pPr>
            <w:r w:rsidRPr="00A13666">
              <w:t xml:space="preserve">Applies to determinands where there is good reason to believe that the substance is present in concentrations </w:t>
            </w:r>
            <w:r>
              <w:t>that</w:t>
            </w:r>
            <w:r w:rsidRPr="00A13666">
              <w:t xml:space="preserve"> present a potential public health risk</w:t>
            </w:r>
            <w:bookmarkStart w:id="208" w:name="_Toc339166729"/>
            <w:r>
              <w:t xml:space="preserve"> </w:t>
            </w:r>
            <w:r w:rsidRPr="00A13666">
              <w:t>(</w:t>
            </w:r>
            <w:r>
              <w:t>t</w:t>
            </w:r>
            <w:r w:rsidRPr="00A13666">
              <w:t>his priority is specific to the particular supply)</w:t>
            </w:r>
            <w:bookmarkEnd w:id="208"/>
          </w:p>
        </w:tc>
        <w:tc>
          <w:tcPr>
            <w:tcW w:w="5812" w:type="dxa"/>
            <w:shd w:val="clear" w:color="auto" w:fill="auto"/>
          </w:tcPr>
          <w:p w14:paraId="041E32C9" w14:textId="77777777" w:rsidR="003741ED" w:rsidRPr="00A13666" w:rsidRDefault="003741ED" w:rsidP="00AA3E21">
            <w:pPr>
              <w:pStyle w:val="TableText"/>
            </w:pPr>
            <w:bookmarkStart w:id="209" w:name="_Toc339166730"/>
            <w:r w:rsidRPr="00A13666">
              <w:t>Chemical and radiological determinands that could be introduced into the drinking-water supply by the treatment chemicals at levels potentially significant to public health (usually greater than 50 percent MAV)</w:t>
            </w:r>
            <w:r>
              <w:t xml:space="preserve"> e</w:t>
            </w:r>
            <w:bookmarkStart w:id="210" w:name="_Toc339166731"/>
            <w:bookmarkEnd w:id="209"/>
            <w:r>
              <w:t xml:space="preserve">g, </w:t>
            </w:r>
            <w:r w:rsidRPr="00A13666">
              <w:t>acrylamide monomer where low specification polyacrylamide is used as a coagulant aid.</w:t>
            </w:r>
            <w:bookmarkEnd w:id="210"/>
          </w:p>
          <w:p w14:paraId="041E32CA" w14:textId="77777777" w:rsidR="003741ED" w:rsidRPr="00A13666" w:rsidRDefault="003741ED" w:rsidP="00AA3E21">
            <w:pPr>
              <w:pStyle w:val="TableText"/>
            </w:pPr>
            <w:bookmarkStart w:id="211" w:name="_Toc339166732"/>
            <w:r w:rsidRPr="00A13666">
              <w:t>Chemical and radiological determinands of health significance that have been demonstrated to be in the drinking-water supply at levels potentially significant to public health (usually greater than 50 percent MAV)</w:t>
            </w:r>
            <w:r>
              <w:t xml:space="preserve"> </w:t>
            </w:r>
            <w:bookmarkStart w:id="212" w:name="_Toc339166733"/>
            <w:bookmarkEnd w:id="211"/>
            <w:r>
              <w:t xml:space="preserve">eg, </w:t>
            </w:r>
            <w:r w:rsidRPr="00A13666">
              <w:t>arsenic and boron in geothermal areas</w:t>
            </w:r>
            <w:bookmarkEnd w:id="212"/>
            <w:r w:rsidRPr="00A13666">
              <w:t>.</w:t>
            </w:r>
          </w:p>
          <w:p w14:paraId="041E32CB" w14:textId="77777777" w:rsidR="003741ED" w:rsidRPr="00A13666" w:rsidRDefault="003741ED" w:rsidP="00AA3E21">
            <w:pPr>
              <w:pStyle w:val="TableText"/>
            </w:pPr>
            <w:bookmarkStart w:id="213" w:name="_Toc339166734"/>
            <w:r w:rsidRPr="00A13666">
              <w:t>Micro-</w:t>
            </w:r>
            <w:r w:rsidRPr="00E66263">
              <w:t>organisms (other than priority 1) of</w:t>
            </w:r>
            <w:r w:rsidRPr="00A13666">
              <w:t xml:space="preserve"> health significance which have been demonstrated to be present in the drinking-water supply</w:t>
            </w:r>
            <w:bookmarkEnd w:id="213"/>
          </w:p>
        </w:tc>
      </w:tr>
      <w:tr w:rsidR="003741ED" w:rsidRPr="00A13666" w14:paraId="041E32D2" w14:textId="77777777" w:rsidTr="005959EC">
        <w:trPr>
          <w:cantSplit/>
        </w:trPr>
        <w:tc>
          <w:tcPr>
            <w:tcW w:w="2268" w:type="dxa"/>
            <w:shd w:val="clear" w:color="auto" w:fill="auto"/>
          </w:tcPr>
          <w:p w14:paraId="041E32CD" w14:textId="77777777" w:rsidR="003741ED" w:rsidRPr="00AA3E21" w:rsidRDefault="003741ED" w:rsidP="00AA3E21">
            <w:pPr>
              <w:pStyle w:val="TableText"/>
              <w:ind w:right="113"/>
              <w:rPr>
                <w:b/>
              </w:rPr>
            </w:pPr>
            <w:r w:rsidRPr="00AA3E21">
              <w:rPr>
                <w:b/>
              </w:rPr>
              <w:t>Priority 3</w:t>
            </w:r>
          </w:p>
          <w:p w14:paraId="041E32CE" w14:textId="77777777" w:rsidR="003741ED" w:rsidRPr="00A13666" w:rsidRDefault="003741ED" w:rsidP="00AA3E21">
            <w:pPr>
              <w:pStyle w:val="TableText"/>
              <w:ind w:right="113"/>
            </w:pPr>
            <w:r w:rsidRPr="00A13666">
              <w:t>Applies to determinands not likely to be present in the supply to the extent where they could present a risk to public health</w:t>
            </w:r>
          </w:p>
        </w:tc>
        <w:tc>
          <w:tcPr>
            <w:tcW w:w="5812" w:type="dxa"/>
            <w:shd w:val="clear" w:color="auto" w:fill="auto"/>
          </w:tcPr>
          <w:p w14:paraId="041E32CF" w14:textId="77777777" w:rsidR="003741ED" w:rsidRPr="00A13666" w:rsidRDefault="003741ED" w:rsidP="00AA3E21">
            <w:pPr>
              <w:pStyle w:val="TableText"/>
            </w:pPr>
            <w:r w:rsidRPr="00A13666">
              <w:t>Chemical and radiological determinands of health significance which are not known to occur in the drinking-water supply at greater than 50 percent MAV.</w:t>
            </w:r>
          </w:p>
          <w:p w14:paraId="041E32D0" w14:textId="77777777" w:rsidR="003741ED" w:rsidRPr="00A13666" w:rsidRDefault="003741ED" w:rsidP="00AA3E21">
            <w:pPr>
              <w:pStyle w:val="TableText"/>
            </w:pPr>
            <w:r w:rsidRPr="00A13666">
              <w:t>Micro-organisms of health significance which could be present in the drinking-water supply.</w:t>
            </w:r>
          </w:p>
          <w:p w14:paraId="041E32D1" w14:textId="77777777" w:rsidR="003741ED" w:rsidRPr="00A13666" w:rsidRDefault="003741ED" w:rsidP="00AA3E21">
            <w:pPr>
              <w:pStyle w:val="TableText"/>
            </w:pPr>
            <w:r w:rsidRPr="00A13666">
              <w:t xml:space="preserve">Determinands of aesthetic significance </w:t>
            </w:r>
            <w:r>
              <w:t>that may</w:t>
            </w:r>
            <w:r w:rsidRPr="00A13666">
              <w:t xml:space="preserve"> occur in the drinking-water supply.</w:t>
            </w:r>
          </w:p>
        </w:tc>
      </w:tr>
    </w:tbl>
    <w:p w14:paraId="041E32D3" w14:textId="77777777" w:rsidR="003741ED" w:rsidRDefault="003741ED" w:rsidP="00AA3E21"/>
    <w:p w14:paraId="041E32D4" w14:textId="77777777" w:rsidR="003741ED" w:rsidRPr="00232876" w:rsidRDefault="003741ED" w:rsidP="00AA3E21">
      <w:pPr>
        <w:pStyle w:val="Heading3"/>
      </w:pPr>
      <w:bookmarkStart w:id="214" w:name="_Toc362013216"/>
      <w:bookmarkStart w:id="215" w:name="_Toc364704317"/>
      <w:bookmarkStart w:id="216" w:name="_Toc2333457"/>
      <w:bookmarkStart w:id="217" w:name="_Toc8979342"/>
      <w:r>
        <w:t>R</w:t>
      </w:r>
      <w:r w:rsidRPr="00320B23">
        <w:t xml:space="preserve">egister of </w:t>
      </w:r>
      <w:r>
        <w:t>C</w:t>
      </w:r>
      <w:r w:rsidRPr="00320B23">
        <w:t xml:space="preserve">ommunity </w:t>
      </w:r>
      <w:r>
        <w:t>D</w:t>
      </w:r>
      <w:r w:rsidRPr="00320B23">
        <w:t>rinking-</w:t>
      </w:r>
      <w:r>
        <w:t>w</w:t>
      </w:r>
      <w:r w:rsidRPr="00320B23">
        <w:t xml:space="preserve">ater </w:t>
      </w:r>
      <w:r>
        <w:t>S</w:t>
      </w:r>
      <w:r w:rsidRPr="00320B23">
        <w:t xml:space="preserve">upplies and </w:t>
      </w:r>
      <w:r>
        <w:t>S</w:t>
      </w:r>
      <w:r w:rsidRPr="00320B23">
        <w:t xml:space="preserve">uppliers in </w:t>
      </w:r>
      <w:r>
        <w:t>N</w:t>
      </w:r>
      <w:r w:rsidRPr="00320B23">
        <w:t xml:space="preserve">ew </w:t>
      </w:r>
      <w:r>
        <w:t>Z</w:t>
      </w:r>
      <w:r w:rsidRPr="00320B23">
        <w:t>ealand</w:t>
      </w:r>
      <w:bookmarkEnd w:id="214"/>
      <w:bookmarkEnd w:id="215"/>
      <w:bookmarkEnd w:id="216"/>
      <w:bookmarkEnd w:id="217"/>
    </w:p>
    <w:p w14:paraId="041E32D5" w14:textId="77777777" w:rsidR="003741ED" w:rsidRPr="00DB08B6" w:rsidRDefault="003741ED" w:rsidP="00AA3E21">
      <w:r w:rsidRPr="00DB08B6">
        <w:t xml:space="preserve">The </w:t>
      </w:r>
      <w:r w:rsidRPr="004E2F49">
        <w:rPr>
          <w:i/>
        </w:rPr>
        <w:t>Register of Community Drinking-</w:t>
      </w:r>
      <w:r>
        <w:rPr>
          <w:i/>
        </w:rPr>
        <w:t>w</w:t>
      </w:r>
      <w:r w:rsidRPr="004E2F49">
        <w:rPr>
          <w:i/>
        </w:rPr>
        <w:t>ater Supplies and Suppliers in New Zealand</w:t>
      </w:r>
      <w:r w:rsidRPr="00DB08B6">
        <w:t xml:space="preserve"> is a requirement of </w:t>
      </w:r>
      <w:r>
        <w:t>the Health Act (s</w:t>
      </w:r>
      <w:r w:rsidRPr="00DB08B6">
        <w:t>69J</w:t>
      </w:r>
      <w:r>
        <w:t>)</w:t>
      </w:r>
      <w:r w:rsidRPr="00DB08B6">
        <w:t>.</w:t>
      </w:r>
      <w:r>
        <w:t xml:space="preserve"> </w:t>
      </w:r>
      <w:r w:rsidRPr="00DB08B6">
        <w:t>It is a public document that provides easily accessible information about community water supplies</w:t>
      </w:r>
      <w:r>
        <w:t xml:space="preserve"> and drinking-water carriers</w:t>
      </w:r>
      <w:r w:rsidRPr="00DB08B6">
        <w:t>.</w:t>
      </w:r>
    </w:p>
    <w:p w14:paraId="041E32D6" w14:textId="77777777" w:rsidR="003741ED" w:rsidRDefault="003741ED" w:rsidP="00AA3E21"/>
    <w:p w14:paraId="041E32D7" w14:textId="77777777" w:rsidR="003741ED" w:rsidRPr="00DB08B6" w:rsidRDefault="003741ED" w:rsidP="00AA3E21">
      <w:r w:rsidRPr="00DB08B6">
        <w:t>For each supply, the Register records:</w:t>
      </w:r>
    </w:p>
    <w:p w14:paraId="041E32D8" w14:textId="77777777" w:rsidR="003741ED" w:rsidRDefault="003741ED" w:rsidP="005959EC">
      <w:pPr>
        <w:pStyle w:val="Bullet"/>
        <w:spacing w:before="60"/>
      </w:pPr>
      <w:r w:rsidRPr="00DB08B6">
        <w:t>the name</w:t>
      </w:r>
      <w:r>
        <w:t xml:space="preserve"> and address</w:t>
      </w:r>
      <w:r w:rsidRPr="00DB08B6">
        <w:t xml:space="preserve"> of the </w:t>
      </w:r>
      <w:r>
        <w:t>drinking-water supplier or carrier</w:t>
      </w:r>
    </w:p>
    <w:p w14:paraId="041E32D9" w14:textId="77777777" w:rsidR="003741ED" w:rsidRPr="00DB08B6" w:rsidRDefault="003741ED" w:rsidP="005959EC">
      <w:pPr>
        <w:pStyle w:val="Bullet"/>
        <w:spacing w:before="60"/>
      </w:pPr>
      <w:r>
        <w:t>the source(s) of the supply</w:t>
      </w:r>
    </w:p>
    <w:p w14:paraId="041E32DA" w14:textId="77777777" w:rsidR="003741ED" w:rsidRPr="00DB08B6" w:rsidRDefault="003741ED" w:rsidP="005959EC">
      <w:pPr>
        <w:pStyle w:val="Bullet"/>
        <w:spacing w:before="60"/>
      </w:pPr>
      <w:r w:rsidRPr="00DB08B6">
        <w:t>unique codes for each component (to aid clear identification)</w:t>
      </w:r>
    </w:p>
    <w:p w14:paraId="041E32DB" w14:textId="77777777" w:rsidR="003741ED" w:rsidRDefault="003741ED" w:rsidP="005959EC">
      <w:pPr>
        <w:pStyle w:val="Bullet"/>
        <w:spacing w:before="60"/>
      </w:pPr>
      <w:r>
        <w:t>when the supply was first registered</w:t>
      </w:r>
    </w:p>
    <w:p w14:paraId="041E32DC" w14:textId="77777777" w:rsidR="003741ED" w:rsidRPr="00DB08B6" w:rsidRDefault="003741ED" w:rsidP="005959EC">
      <w:pPr>
        <w:pStyle w:val="Bullet"/>
        <w:spacing w:before="60"/>
      </w:pPr>
      <w:r>
        <w:t>category of</w:t>
      </w:r>
      <w:r w:rsidRPr="00DB08B6">
        <w:t xml:space="preserve"> the supply.</w:t>
      </w:r>
    </w:p>
    <w:p w14:paraId="041E32DD" w14:textId="77777777" w:rsidR="003741ED" w:rsidRPr="00DB08B6" w:rsidRDefault="003741ED" w:rsidP="00AA3E21"/>
    <w:p w14:paraId="041E32DE" w14:textId="77777777" w:rsidR="003741ED" w:rsidRPr="00232876" w:rsidRDefault="003741ED" w:rsidP="00AA3E21">
      <w:pPr>
        <w:pStyle w:val="Heading3"/>
      </w:pPr>
      <w:bookmarkStart w:id="218" w:name="_Toc362013217"/>
      <w:bookmarkStart w:id="219" w:name="_Toc364704318"/>
      <w:bookmarkStart w:id="220" w:name="_Toc2333458"/>
      <w:bookmarkStart w:id="221" w:name="_Toc8979343"/>
      <w:r>
        <w:t>A</w:t>
      </w:r>
      <w:r w:rsidRPr="00320B23">
        <w:t xml:space="preserve">nnual </w:t>
      </w:r>
      <w:r>
        <w:t>Review of</w:t>
      </w:r>
      <w:r w:rsidRPr="00320B23">
        <w:t xml:space="preserve"> </w:t>
      </w:r>
      <w:r>
        <w:t>D</w:t>
      </w:r>
      <w:r w:rsidRPr="00320B23">
        <w:t xml:space="preserve">rinking-water </w:t>
      </w:r>
      <w:r>
        <w:t>Q</w:t>
      </w:r>
      <w:r w:rsidRPr="00320B23">
        <w:t xml:space="preserve">uality in </w:t>
      </w:r>
      <w:r>
        <w:t>New Zealand</w:t>
      </w:r>
      <w:bookmarkEnd w:id="218"/>
      <w:bookmarkEnd w:id="219"/>
      <w:bookmarkEnd w:id="220"/>
      <w:bookmarkEnd w:id="221"/>
    </w:p>
    <w:p w14:paraId="041E32DF" w14:textId="77777777" w:rsidR="003741ED" w:rsidRPr="00DB08B6" w:rsidRDefault="003741ED" w:rsidP="00AA3E21">
      <w:r w:rsidRPr="00DB08B6">
        <w:t xml:space="preserve">The </w:t>
      </w:r>
      <w:r w:rsidRPr="004F63A6">
        <w:rPr>
          <w:i/>
        </w:rPr>
        <w:t>Annual Review of Drinking-water Quality in New Zealand</w:t>
      </w:r>
      <w:r>
        <w:t xml:space="preserve"> </w:t>
      </w:r>
      <w:r w:rsidRPr="00DB08B6">
        <w:t xml:space="preserve">provides a public statement of the extent to which a community water supply </w:t>
      </w:r>
      <w:r>
        <w:t xml:space="preserve">(serving over 100 people) </w:t>
      </w:r>
      <w:r w:rsidRPr="00DB08B6">
        <w:t xml:space="preserve">complies with the requirements of the </w:t>
      </w:r>
      <w:r>
        <w:t>Part 2A Health Act 1956</w:t>
      </w:r>
      <w:r w:rsidRPr="00DB08B6">
        <w:t>.</w:t>
      </w:r>
    </w:p>
    <w:p w14:paraId="041E32E0" w14:textId="77777777" w:rsidR="003741ED" w:rsidRPr="00DB08B6" w:rsidRDefault="003741ED" w:rsidP="00AA3E21"/>
    <w:p w14:paraId="041E32E1" w14:textId="77777777" w:rsidR="003741ED" w:rsidRDefault="003741ED" w:rsidP="00AA3E21">
      <w:r>
        <w:t>Publication of an annual report is a requirement of the Director-General under section</w:t>
      </w:r>
      <w:r w:rsidR="00AA3E21">
        <w:t> </w:t>
      </w:r>
      <w:r>
        <w:t xml:space="preserve">69ZZZB. </w:t>
      </w:r>
      <w:r w:rsidRPr="00DB08B6">
        <w:t xml:space="preserve">Annual </w:t>
      </w:r>
      <w:r>
        <w:t>reviews</w:t>
      </w:r>
      <w:r w:rsidRPr="00DB08B6">
        <w:t xml:space="preserve"> are available at </w:t>
      </w:r>
      <w:hyperlink r:id="rId33" w:history="1">
        <w:r w:rsidRPr="00F703F3">
          <w:rPr>
            <w:rStyle w:val="Hyperlink"/>
          </w:rPr>
          <w:t>http://www.health.govt.nz/water</w:t>
        </w:r>
      </w:hyperlink>
      <w:r w:rsidRPr="00DB08B6">
        <w:t xml:space="preserve"> (then select publications</w:t>
      </w:r>
      <w:r>
        <w:t>).</w:t>
      </w:r>
    </w:p>
    <w:p w14:paraId="041E32E2" w14:textId="77777777" w:rsidR="003741ED" w:rsidRDefault="003741ED" w:rsidP="00AA3E21"/>
    <w:p w14:paraId="041E32E3" w14:textId="77777777" w:rsidR="003741ED" w:rsidRPr="00320B23" w:rsidRDefault="003741ED" w:rsidP="00AA3E21">
      <w:pPr>
        <w:pStyle w:val="Heading3"/>
      </w:pPr>
      <w:bookmarkStart w:id="222" w:name="_Toc362013218"/>
      <w:bookmarkStart w:id="223" w:name="_Toc364704319"/>
      <w:bookmarkStart w:id="224" w:name="_Toc2333459"/>
      <w:bookmarkStart w:id="225" w:name="_Toc8979344"/>
      <w:r w:rsidRPr="00320B23">
        <w:t>R</w:t>
      </w:r>
      <w:r>
        <w:t>egister of recognised laboratories</w:t>
      </w:r>
      <w:bookmarkEnd w:id="222"/>
      <w:bookmarkEnd w:id="223"/>
      <w:bookmarkEnd w:id="224"/>
      <w:bookmarkEnd w:id="225"/>
    </w:p>
    <w:p w14:paraId="041E32E4" w14:textId="77777777" w:rsidR="003741ED" w:rsidRPr="00AC3F34" w:rsidRDefault="003741ED" w:rsidP="00AA3E21">
      <w:r w:rsidRPr="00AC3F34">
        <w:t>To be accepted by the Ministry of Health for the purpose of analysing samples for compliance with the DWSNZ, a laboratory must satisfy the Ministry that it:</w:t>
      </w:r>
    </w:p>
    <w:p w14:paraId="041E32E5" w14:textId="77777777" w:rsidR="003741ED" w:rsidRPr="00AC3F34" w:rsidRDefault="003741ED" w:rsidP="00AA3E21">
      <w:pPr>
        <w:pStyle w:val="Bullet"/>
      </w:pPr>
      <w:r w:rsidRPr="00AC3F34">
        <w:t xml:space="preserve">requires suppliers who send samples from community drinking-water supplies for analysis for the purpose of demonstrating compliance with the DWSNZ, to identify all such samples with the appropriate unique site identification code as listed in the current </w:t>
      </w:r>
      <w:r w:rsidRPr="004E2F49">
        <w:rPr>
          <w:i/>
        </w:rPr>
        <w:t>Register of Community Drinking-</w:t>
      </w:r>
      <w:r>
        <w:rPr>
          <w:i/>
        </w:rPr>
        <w:t>w</w:t>
      </w:r>
      <w:r w:rsidRPr="004E2F49">
        <w:rPr>
          <w:i/>
        </w:rPr>
        <w:t>ater Supplies and Suppliers in New Zealand</w:t>
      </w:r>
    </w:p>
    <w:p w14:paraId="041E32E6" w14:textId="77777777" w:rsidR="003741ED" w:rsidRPr="00AC3F34" w:rsidRDefault="003741ED" w:rsidP="00AA3E21">
      <w:pPr>
        <w:pStyle w:val="Bullet"/>
      </w:pPr>
      <w:r w:rsidRPr="00AC3F34">
        <w:t>has been recognised by an appropriate accreditation or certification authority as competent to perform those analyses for which acceptance by the Ministry is sought (this would involve accreditation to NZS/ISO/IEC 17025 [IANZ 200</w:t>
      </w:r>
      <w:r>
        <w:t>5</w:t>
      </w:r>
      <w:r w:rsidRPr="00AC3F34">
        <w:t>] or equivalent).</w:t>
      </w:r>
      <w:r>
        <w:t xml:space="preserve"> </w:t>
      </w:r>
      <w:r w:rsidRPr="00AC3F34">
        <w:t>This includes IANZ accredited laboratories and laboratories recognised by IANZ as complying with Ministry of Health Level 2 Criteria (IANZ 2007)</w:t>
      </w:r>
    </w:p>
    <w:p w14:paraId="041E32E7" w14:textId="77777777" w:rsidR="003741ED" w:rsidRPr="00AC3F34" w:rsidRDefault="003741ED" w:rsidP="00AA3E21">
      <w:pPr>
        <w:pStyle w:val="Bullet"/>
      </w:pPr>
      <w:r w:rsidRPr="00AC3F34">
        <w:t>is operating appropriate quality assurance procedures</w:t>
      </w:r>
    </w:p>
    <w:p w14:paraId="041E32E8" w14:textId="77777777" w:rsidR="003741ED" w:rsidRPr="00E66263" w:rsidRDefault="003741ED" w:rsidP="00AA3E21">
      <w:pPr>
        <w:pStyle w:val="Bullet"/>
      </w:pPr>
      <w:r w:rsidRPr="00AC3F34">
        <w:t xml:space="preserve">is using </w:t>
      </w:r>
      <w:r>
        <w:t xml:space="preserve">bacteriological </w:t>
      </w:r>
      <w:r w:rsidRPr="00AC3F34">
        <w:t xml:space="preserve">methods that have been calibrated against the referee methods specified in the </w:t>
      </w:r>
      <w:r w:rsidRPr="00E66263">
        <w:t>DWSNZ. Laboratories conducting chemical tests for compliance purposes may use the test methods for which they have been assessed by IANZ and found to be competent to perform</w:t>
      </w:r>
    </w:p>
    <w:p w14:paraId="041E32E9" w14:textId="77777777" w:rsidR="003741ED" w:rsidRPr="00AC3F34" w:rsidRDefault="003741ED" w:rsidP="00AA3E21">
      <w:pPr>
        <w:pStyle w:val="Bullet"/>
      </w:pPr>
      <w:r w:rsidRPr="00AC3F34">
        <w:t>is actively engaged in on-going inter</w:t>
      </w:r>
      <w:r>
        <w:t>-</w:t>
      </w:r>
      <w:r w:rsidRPr="00AC3F34">
        <w:t>laboratory method-comparison programmes to compare the results of their analyses of the determinands for which they wish to be accepted by the Ministry with analyses on those determinands carried out by other laboratories accepted by the Ministry.</w:t>
      </w:r>
    </w:p>
    <w:p w14:paraId="041E32EA" w14:textId="77777777" w:rsidR="003741ED" w:rsidRPr="00AC3F34" w:rsidRDefault="003741ED" w:rsidP="00AA3E21"/>
    <w:p w14:paraId="041E32EB" w14:textId="77777777" w:rsidR="003741ED" w:rsidRPr="00AC3F34" w:rsidRDefault="003741ED" w:rsidP="00AA3E21">
      <w:r w:rsidRPr="00AC3F34">
        <w:t>Other requirements may be added from time to time.</w:t>
      </w:r>
    </w:p>
    <w:p w14:paraId="041E32EC" w14:textId="77777777" w:rsidR="003741ED" w:rsidRPr="00AC3F34" w:rsidRDefault="003741ED" w:rsidP="00AA3E21"/>
    <w:p w14:paraId="041E32ED" w14:textId="77777777" w:rsidR="003741ED" w:rsidRDefault="003741ED" w:rsidP="00AA3E21">
      <w:r>
        <w:t xml:space="preserve">The </w:t>
      </w:r>
      <w:r w:rsidRPr="004E2F49">
        <w:t>Register of Recognised Laboratories</w:t>
      </w:r>
      <w:r w:rsidRPr="00AC3F34">
        <w:t xml:space="preserve"> </w:t>
      </w:r>
      <w:r>
        <w:t xml:space="preserve">is available via </w:t>
      </w:r>
      <w:hyperlink r:id="rId34" w:history="1">
        <w:r w:rsidRPr="00F703F3">
          <w:rPr>
            <w:rStyle w:val="Hyperlink"/>
          </w:rPr>
          <w:t>http://www.health.govt.nz/water</w:t>
        </w:r>
      </w:hyperlink>
      <w:r w:rsidDel="00252653">
        <w:t xml:space="preserve"> </w:t>
      </w:r>
      <w:r>
        <w:t>(under Drinking-water/Legislation/Related websites).</w:t>
      </w:r>
    </w:p>
    <w:p w14:paraId="041E32EE" w14:textId="77777777" w:rsidR="003741ED" w:rsidRDefault="003741ED" w:rsidP="00AA3E21"/>
    <w:p w14:paraId="041E32EF" w14:textId="77777777" w:rsidR="003741ED" w:rsidRDefault="003741ED" w:rsidP="00AA3E21">
      <w:pPr>
        <w:pStyle w:val="Heading3"/>
      </w:pPr>
      <w:bookmarkStart w:id="226" w:name="_Toc2333460"/>
      <w:bookmarkStart w:id="227" w:name="_Toc8979345"/>
      <w:r>
        <w:t>Records</w:t>
      </w:r>
      <w:bookmarkEnd w:id="226"/>
      <w:bookmarkEnd w:id="227"/>
    </w:p>
    <w:p w14:paraId="041E32F0" w14:textId="77777777" w:rsidR="003741ED" w:rsidRPr="00560F10" w:rsidRDefault="003741ED" w:rsidP="005959EC">
      <w:pPr>
        <w:keepLines/>
        <w:rPr>
          <w:szCs w:val="22"/>
        </w:rPr>
      </w:pPr>
      <w:r w:rsidRPr="005C6174">
        <w:t>The duty to keep records and make them available is covered in section 69ZD of the Act.</w:t>
      </w:r>
      <w:r>
        <w:t xml:space="preserve"> </w:t>
      </w:r>
      <w:r w:rsidRPr="00560F10">
        <w:t>Records must be kept of the results of monitoring drinking-water determinands. The records are necessary to demonstrate that the DWSNZ are being complied with. They are an essential requirement for the public health grading of drinking-water supplies.</w:t>
      </w:r>
      <w:r>
        <w:t xml:space="preserve"> </w:t>
      </w:r>
      <w:r w:rsidRPr="00560F10">
        <w:rPr>
          <w:szCs w:val="22"/>
        </w:rPr>
        <w:t>The records must include the following.</w:t>
      </w:r>
    </w:p>
    <w:p w14:paraId="041E32F1" w14:textId="77777777" w:rsidR="003741ED" w:rsidRPr="00560F10" w:rsidRDefault="003741ED" w:rsidP="00AA3E21">
      <w:pPr>
        <w:pStyle w:val="Bullet"/>
      </w:pPr>
      <w:r w:rsidRPr="00560F10">
        <w:t>The name of the supply, treatment plant(s) and distribution zone(s) to which the information relates and the unique supply component code listed in the Register of Drinking Water Suppliers for New Zealand (</w:t>
      </w:r>
      <w:hyperlink r:id="rId35" w:history="1">
        <w:r w:rsidRPr="00560F10">
          <w:t>http://www.health.govt.nz/</w:t>
        </w:r>
      </w:hyperlink>
      <w:r w:rsidRPr="00560F10">
        <w:t>). If the water supply has not been registered, this should be undertaken with the Ministry of Health.</w:t>
      </w:r>
    </w:p>
    <w:p w14:paraId="041E32F2" w14:textId="77777777" w:rsidR="003741ED" w:rsidRPr="00560F10" w:rsidRDefault="003741ED" w:rsidP="00AA3E21">
      <w:pPr>
        <w:pStyle w:val="Bullet"/>
      </w:pPr>
      <w:r w:rsidRPr="00560F10">
        <w:t>The relevant supply codes must be included in all correspondence with the Ministry of Health or drinking-water assessor (DWA).</w:t>
      </w:r>
    </w:p>
    <w:p w14:paraId="041E32F3" w14:textId="77777777" w:rsidR="003741ED" w:rsidRPr="00560F10" w:rsidRDefault="003741ED" w:rsidP="00AA3E21">
      <w:pPr>
        <w:pStyle w:val="Bullet"/>
      </w:pPr>
      <w:r w:rsidRPr="00560F10">
        <w:t>Up-to-date records of the resident population in the district served by the supply.</w:t>
      </w:r>
    </w:p>
    <w:p w14:paraId="041E32F4" w14:textId="77777777" w:rsidR="003741ED" w:rsidRPr="00560F10" w:rsidRDefault="003741ED" w:rsidP="00AA3E21">
      <w:pPr>
        <w:pStyle w:val="Bullet"/>
      </w:pPr>
      <w:r w:rsidRPr="00560F10">
        <w:t>The information that is recorded must, to the satisfaction of the DWA, be sufﬁcient for the purposes of assessing compliance with the DWSNZ.</w:t>
      </w:r>
    </w:p>
    <w:p w14:paraId="041E32F5" w14:textId="77777777" w:rsidR="003741ED" w:rsidRPr="00994600" w:rsidRDefault="003741ED" w:rsidP="00AA3E21">
      <w:pPr>
        <w:pStyle w:val="Bullet"/>
      </w:pPr>
      <w:r>
        <w:t>Online</w:t>
      </w:r>
      <w:r w:rsidRPr="00994600">
        <w:t xml:space="preserve"> data records may be compressed using a procedure that preserves the accuracy of the original measurements. Data must be reported as a percentage of the time (or duration, where required) that the value was exceeded (or met) during the compliance monitoring period.</w:t>
      </w:r>
    </w:p>
    <w:p w14:paraId="041E32F6" w14:textId="77777777" w:rsidR="003741ED" w:rsidRPr="00560F10" w:rsidRDefault="003741ED" w:rsidP="00AA3E21">
      <w:pPr>
        <w:pStyle w:val="Bullet"/>
      </w:pPr>
      <w:r w:rsidRPr="00560F10">
        <w:t>Information collected during catchment assessments, sanitary inspections of the water supply, inspections of bore head protection, and data gathered during the protozoal risk categorisation process.</w:t>
      </w:r>
    </w:p>
    <w:p w14:paraId="041E32F7" w14:textId="77777777" w:rsidR="003741ED" w:rsidRPr="00560F10" w:rsidRDefault="003741ED" w:rsidP="00AA3E21">
      <w:pPr>
        <w:pStyle w:val="Bullet"/>
      </w:pPr>
      <w:r w:rsidRPr="00560F10">
        <w:t>All monitoring results of the raw water or water entering the treatment plant that are required for the protozoal risk categorisation.</w:t>
      </w:r>
    </w:p>
    <w:p w14:paraId="041E32F8" w14:textId="77777777" w:rsidR="003741ED" w:rsidRPr="00560F10" w:rsidRDefault="003741ED" w:rsidP="00AA3E21">
      <w:pPr>
        <w:pStyle w:val="Bullet"/>
      </w:pPr>
      <w:r w:rsidRPr="00560F10">
        <w:t>The treatment processes in operation at the beginning of the year being reported and any modiﬁcations that changed the process during the previous year.</w:t>
      </w:r>
    </w:p>
    <w:p w14:paraId="041E32F9" w14:textId="77777777" w:rsidR="003741ED" w:rsidRPr="00560F10" w:rsidRDefault="003741ED" w:rsidP="00AA3E21">
      <w:pPr>
        <w:pStyle w:val="Bullet"/>
      </w:pPr>
      <w:r w:rsidRPr="00560F10">
        <w:t>Unless analysing for Priority 2a determinands, the concentration of any impurities in the chemicals being dosed. This should include the calculations used that proved analysis of the impurities was not needed.</w:t>
      </w:r>
    </w:p>
    <w:p w14:paraId="041E32FA" w14:textId="77777777" w:rsidR="003741ED" w:rsidRPr="00560F10" w:rsidRDefault="003741ED" w:rsidP="00AA3E21">
      <w:pPr>
        <w:pStyle w:val="Bullet"/>
      </w:pPr>
      <w:r w:rsidRPr="00560F10">
        <w:t>Anything that could signiﬁcantly affect water quality that has occurred in the drinking-water supply system or catchment.</w:t>
      </w:r>
    </w:p>
    <w:p w14:paraId="041E32FB" w14:textId="77777777" w:rsidR="003741ED" w:rsidRPr="00560F10" w:rsidRDefault="003741ED" w:rsidP="00AA3E21">
      <w:pPr>
        <w:pStyle w:val="Bullet"/>
      </w:pPr>
      <w:r w:rsidRPr="00560F10">
        <w:t>A log of observations made of the appearance of the source water where regular source inspections are required.</w:t>
      </w:r>
    </w:p>
    <w:p w14:paraId="041E32FC" w14:textId="77777777" w:rsidR="003741ED" w:rsidRPr="00560F10" w:rsidRDefault="003741ED" w:rsidP="00AA3E21">
      <w:pPr>
        <w:pStyle w:val="Bullet"/>
      </w:pPr>
      <w:r w:rsidRPr="00560F10">
        <w:t>The determinands monitored during the year. If any Priority 1 or Priority 2 determinands have not been monitored or have been monitored at less than the required frequency, the reasons must be recorded, with corroborating data where appropriate.</w:t>
      </w:r>
    </w:p>
    <w:p w14:paraId="041E32FD" w14:textId="77777777" w:rsidR="003741ED" w:rsidRPr="00560F10" w:rsidRDefault="003741ED" w:rsidP="00AA3E21">
      <w:pPr>
        <w:pStyle w:val="Bullet"/>
      </w:pPr>
      <w:r w:rsidRPr="00560F10">
        <w:t>The sampling frequency for each determinand, the dates and times on which the measurements were made (for samples before and after ﬂushing where this is necessary), the sampling site location, the supply component code, the name of the sampler(s) and the analytical results.</w:t>
      </w:r>
    </w:p>
    <w:p w14:paraId="041E32FE" w14:textId="77777777" w:rsidR="003741ED" w:rsidRPr="00560F10" w:rsidRDefault="003741ED" w:rsidP="00AA3E21">
      <w:pPr>
        <w:pStyle w:val="Bullet"/>
      </w:pPr>
      <w:r w:rsidRPr="00560F10">
        <w:t>Any remedial action taken as a result of the level of a determinand exceeding the MAV or because the water supplier considered it necessary.</w:t>
      </w:r>
    </w:p>
    <w:p w14:paraId="041E32FF" w14:textId="77777777" w:rsidR="003741ED" w:rsidRPr="00560F10" w:rsidRDefault="003741ED" w:rsidP="00AA3E21">
      <w:pPr>
        <w:pStyle w:val="Bullet"/>
      </w:pPr>
      <w:r w:rsidRPr="00560F10">
        <w:t>The analytical method used and the limit of detection and uncertainty for each of test method.</w:t>
      </w:r>
    </w:p>
    <w:p w14:paraId="041E3300" w14:textId="77777777" w:rsidR="003741ED" w:rsidRPr="00560F10" w:rsidRDefault="003741ED" w:rsidP="00AA3E21">
      <w:pPr>
        <w:pStyle w:val="Bullet"/>
      </w:pPr>
      <w:r w:rsidRPr="00560F10">
        <w:t>The name of the laboratory used for the analyses as listed in the Ministry of Health</w:t>
      </w:r>
      <w:r>
        <w:t>’</w:t>
      </w:r>
      <w:r w:rsidRPr="00560F10">
        <w:t xml:space="preserve">s Register of Recognised Laboratories for New Zealand </w:t>
      </w:r>
      <w:hyperlink r:id="rId36" w:history="1">
        <w:r w:rsidRPr="00AA3E21">
          <w:rPr>
            <w:rStyle w:val="Hyperlink"/>
          </w:rPr>
          <w:t>http://www.health.govt.nz/water</w:t>
        </w:r>
      </w:hyperlink>
      <w:r w:rsidR="00AA3E21" w:rsidRPr="00AA3E21">
        <w:t>.</w:t>
      </w:r>
    </w:p>
    <w:p w14:paraId="041E3301" w14:textId="77777777" w:rsidR="003741ED" w:rsidRPr="00560F10" w:rsidRDefault="003741ED" w:rsidP="00AA3E21">
      <w:pPr>
        <w:pStyle w:val="Bullet"/>
      </w:pPr>
      <w:r w:rsidRPr="00560F10">
        <w:t>Any re-evaluation of the operational programme undertaken and the reasons for this. Notes concerning treatment modiﬁcation have been discussed above, but changes in the operation or the materials used in the reticulation should also be noted where appropriate.</w:t>
      </w:r>
    </w:p>
    <w:p w14:paraId="041E3302" w14:textId="77777777" w:rsidR="003741ED" w:rsidRPr="00560F10" w:rsidRDefault="003741ED" w:rsidP="00AA3E21">
      <w:pPr>
        <w:pStyle w:val="Bullet"/>
      </w:pPr>
      <w:r w:rsidRPr="00560F10">
        <w:t>Operational records, including process changes and operational monitoring.</w:t>
      </w:r>
    </w:p>
    <w:p w14:paraId="041E3303" w14:textId="77777777" w:rsidR="003741ED" w:rsidRPr="00560F10" w:rsidRDefault="003741ED" w:rsidP="00AA3E21">
      <w:pPr>
        <w:pStyle w:val="Bullet"/>
      </w:pPr>
      <w:r w:rsidRPr="00560F10">
        <w:t>Copies of all equipment validations or certiﬁcations.</w:t>
      </w:r>
    </w:p>
    <w:p w14:paraId="041E3304" w14:textId="77777777" w:rsidR="003741ED" w:rsidRPr="00560F10" w:rsidRDefault="003741ED" w:rsidP="00AA3E21">
      <w:pPr>
        <w:pStyle w:val="Bullet"/>
      </w:pPr>
      <w:r w:rsidRPr="00560F10">
        <w:t>The names, relevant qualiﬁcations and experiences of staff supervisors and operators.</w:t>
      </w:r>
    </w:p>
    <w:p w14:paraId="041E3305" w14:textId="77777777" w:rsidR="003741ED" w:rsidRDefault="003741ED" w:rsidP="003741ED">
      <w:pPr>
        <w:rPr>
          <w:szCs w:val="22"/>
        </w:rPr>
      </w:pPr>
    </w:p>
    <w:p w14:paraId="041E3306" w14:textId="77777777" w:rsidR="003741ED" w:rsidRDefault="003741ED" w:rsidP="00AA3E21">
      <w:r w:rsidRPr="00560F10">
        <w:t xml:space="preserve">Proper internal documentation of the monitoring programme will enable water suppliers to collate this information easily. Using the </w:t>
      </w:r>
      <w:r>
        <w:t>Drinking-w</w:t>
      </w:r>
      <w:r w:rsidRPr="00560F10">
        <w:t xml:space="preserve">ater </w:t>
      </w:r>
      <w:r>
        <w:t>Online</w:t>
      </w:r>
      <w:r w:rsidRPr="00560F10">
        <w:t xml:space="preserve"> database (available through the Ministry of Health) will assist suppliers to calculate compliance and maintain the necessary records in the correct format.</w:t>
      </w:r>
    </w:p>
    <w:p w14:paraId="041E3307" w14:textId="77777777" w:rsidR="003741ED" w:rsidRPr="00DB08B6" w:rsidRDefault="003741ED" w:rsidP="00AA3E21"/>
    <w:p w14:paraId="041E3308" w14:textId="77777777" w:rsidR="003741ED" w:rsidRPr="00320B23" w:rsidRDefault="003741ED" w:rsidP="00AA3E21">
      <w:pPr>
        <w:pStyle w:val="Heading2"/>
      </w:pPr>
      <w:bookmarkStart w:id="228" w:name="_Toc362013219"/>
      <w:bookmarkStart w:id="229" w:name="_Toc364704320"/>
      <w:bookmarkStart w:id="230" w:name="_Toc485635043"/>
      <w:bookmarkStart w:id="231" w:name="_Toc2333461"/>
      <w:bookmarkStart w:id="232" w:name="_Toc8979346"/>
      <w:bookmarkStart w:id="233" w:name="_Toc339686573"/>
      <w:bookmarkStart w:id="234" w:name="_Toc339692325"/>
      <w:bookmarkStart w:id="235" w:name="_Toc339698638"/>
      <w:bookmarkStart w:id="236" w:name="_Toc339776734"/>
      <w:bookmarkStart w:id="237" w:name="_Toc339776855"/>
      <w:r w:rsidRPr="00320B23">
        <w:t>O</w:t>
      </w:r>
      <w:r>
        <w:t>ther drinking-water requirements</w:t>
      </w:r>
      <w:bookmarkEnd w:id="228"/>
      <w:bookmarkEnd w:id="229"/>
      <w:bookmarkEnd w:id="230"/>
      <w:bookmarkEnd w:id="231"/>
      <w:bookmarkEnd w:id="232"/>
    </w:p>
    <w:p w14:paraId="041E3309" w14:textId="77777777" w:rsidR="003741ED" w:rsidRPr="00320B23" w:rsidRDefault="003741ED" w:rsidP="00AA3E21">
      <w:pPr>
        <w:pStyle w:val="Heading3"/>
      </w:pPr>
      <w:bookmarkStart w:id="238" w:name="_Toc362013220"/>
      <w:bookmarkStart w:id="239" w:name="_Toc364704321"/>
      <w:bookmarkStart w:id="240" w:name="_Toc2333462"/>
      <w:bookmarkStart w:id="241" w:name="_Toc8979347"/>
      <w:r w:rsidRPr="00320B23">
        <w:t>D</w:t>
      </w:r>
      <w:r>
        <w:t>rinking</w:t>
      </w:r>
      <w:r w:rsidRPr="00320B23">
        <w:t>-</w:t>
      </w:r>
      <w:r>
        <w:t>water quality at airports</w:t>
      </w:r>
      <w:bookmarkEnd w:id="238"/>
      <w:bookmarkEnd w:id="239"/>
      <w:bookmarkEnd w:id="240"/>
      <w:bookmarkEnd w:id="241"/>
    </w:p>
    <w:p w14:paraId="041E330A" w14:textId="77777777" w:rsidR="003741ED" w:rsidRPr="004740B0" w:rsidRDefault="003741ED" w:rsidP="00AA3E21">
      <w:r w:rsidRPr="004740B0">
        <w:t>Annex 1 B 1(d) of the International Health Regulations (IHR) (WHO 2005) requires every designated airport location worldwide to develop the capacity to provide potable water for the aircraft that use their facilities. However, it is the responsibility of each aircraft operator to ensure that these standards are being upheld, not just in terms of the quality of the water taken on board from the source of supply on the ground. In accordance with Article 24(c) of the IHR (WHO 2005)</w:t>
      </w:r>
      <w:r>
        <w:t xml:space="preserve"> s</w:t>
      </w:r>
      <w:r w:rsidRPr="004740B0">
        <w:t>tates shall take all practicable measures to ensure that conveyance operators keep the water system free of sources of contamination and infection.</w:t>
      </w:r>
    </w:p>
    <w:p w14:paraId="041E330B" w14:textId="77777777" w:rsidR="003741ED" w:rsidRPr="004740B0" w:rsidRDefault="003741ED" w:rsidP="00AA3E21"/>
    <w:p w14:paraId="041E330C" w14:textId="77777777" w:rsidR="003741ED" w:rsidRPr="004740B0" w:rsidRDefault="003741ED" w:rsidP="00AA3E21">
      <w:r w:rsidRPr="004740B0">
        <w:t>Airports should comply with the core capacity requirements of Annex 1 B 1(d) and the role of the competent authorities to ensure, as far as practicable, that the facilities are in sanitary condition and kept free of sources of infection and contamination, as per Article</w:t>
      </w:r>
      <w:r w:rsidR="00AA3E21">
        <w:t> </w:t>
      </w:r>
      <w:r w:rsidRPr="004740B0">
        <w:t>22(b), such as providing potable water from a uncontaminated source approved by the competent authority.</w:t>
      </w:r>
    </w:p>
    <w:p w14:paraId="041E330D" w14:textId="77777777" w:rsidR="003741ED" w:rsidRPr="004740B0" w:rsidRDefault="003741ED" w:rsidP="00AA3E21"/>
    <w:p w14:paraId="041E330E" w14:textId="77777777" w:rsidR="003741ED" w:rsidRPr="00E66263" w:rsidRDefault="003741ED" w:rsidP="00AA3E21">
      <w:r w:rsidRPr="004740B0">
        <w:t>For further information, see WHO (2009</w:t>
      </w:r>
      <w:r w:rsidRPr="00E66263">
        <w:t>).</w:t>
      </w:r>
    </w:p>
    <w:p w14:paraId="041E330F" w14:textId="77777777" w:rsidR="003741ED" w:rsidRPr="00E66263" w:rsidRDefault="003741ED" w:rsidP="00AA3E21"/>
    <w:p w14:paraId="041E3310" w14:textId="77777777" w:rsidR="003741ED" w:rsidRPr="00E66263" w:rsidRDefault="003741ED" w:rsidP="00AA3E21">
      <w:r w:rsidRPr="00E66263">
        <w:t xml:space="preserve">Note that the US established in 2009 an Aircraft Drinking Water Rule, for details, see </w:t>
      </w:r>
      <w:hyperlink r:id="rId37" w:history="1">
        <w:r w:rsidRPr="00E66263">
          <w:rPr>
            <w:rStyle w:val="Hyperlink"/>
          </w:rPr>
          <w:t>http://water.epa.gov/lawsregs/rulesregs/sdwa/airlinewater/index.cfm</w:t>
        </w:r>
      </w:hyperlink>
    </w:p>
    <w:p w14:paraId="041E3311" w14:textId="77777777" w:rsidR="003741ED" w:rsidRPr="004740B0" w:rsidRDefault="003741ED" w:rsidP="00AA3E21"/>
    <w:p w14:paraId="041E3312" w14:textId="77777777" w:rsidR="003741ED" w:rsidRPr="00320B23" w:rsidRDefault="003741ED" w:rsidP="00AA3E21">
      <w:pPr>
        <w:pStyle w:val="Heading3"/>
      </w:pPr>
      <w:bookmarkStart w:id="242" w:name="_Toc362013221"/>
      <w:bookmarkStart w:id="243" w:name="_Toc364704322"/>
      <w:bookmarkStart w:id="244" w:name="_Toc2333463"/>
      <w:bookmarkStart w:id="245" w:name="_Toc8979348"/>
      <w:r w:rsidRPr="00320B23">
        <w:t>D</w:t>
      </w:r>
      <w:r>
        <w:t>rinking-water quality in shipping</w:t>
      </w:r>
      <w:bookmarkEnd w:id="242"/>
      <w:bookmarkEnd w:id="243"/>
      <w:bookmarkEnd w:id="244"/>
      <w:bookmarkEnd w:id="245"/>
    </w:p>
    <w:p w14:paraId="041E3313" w14:textId="77777777" w:rsidR="003741ED" w:rsidRPr="004740B0" w:rsidRDefault="003741ED" w:rsidP="00AA3E21">
      <w:r w:rsidRPr="004740B0">
        <w:t xml:space="preserve">Historically ships have played an important role in transmitting infectious diseases around the world. For example, the spread of cholera pandemics in the </w:t>
      </w:r>
      <w:r w:rsidR="00AA3E21">
        <w:t>19</w:t>
      </w:r>
      <w:r w:rsidRPr="004740B0">
        <w:t>th century was thought to be linked to trade routes, and facilitated by merchant shipping.</w:t>
      </w:r>
    </w:p>
    <w:p w14:paraId="041E3314" w14:textId="77777777" w:rsidR="003741ED" w:rsidRPr="004740B0" w:rsidRDefault="003741ED" w:rsidP="00AA3E21"/>
    <w:p w14:paraId="041E3315" w14:textId="77777777" w:rsidR="003741ED" w:rsidRPr="004740B0" w:rsidRDefault="003741ED" w:rsidP="00AA3E21">
      <w:r w:rsidRPr="004740B0">
        <w:t xml:space="preserve">The purpose of the International Health Regulations is </w:t>
      </w:r>
      <w:r>
        <w:t>“</w:t>
      </w:r>
      <w:r w:rsidRPr="004740B0">
        <w:t>to provide security against the international spread of disease while avoiding unnecessary interference with international traffic</w:t>
      </w:r>
      <w:r>
        <w:t>”</w:t>
      </w:r>
      <w:r w:rsidRPr="004740B0">
        <w:t>.</w:t>
      </w:r>
    </w:p>
    <w:p w14:paraId="041E3316" w14:textId="77777777" w:rsidR="003741ED" w:rsidRPr="004740B0" w:rsidRDefault="003741ED" w:rsidP="00AA3E21"/>
    <w:p w14:paraId="041E3317" w14:textId="77777777" w:rsidR="003741ED" w:rsidRPr="004740B0" w:rsidRDefault="003741ED" w:rsidP="00AA3E21">
      <w:r w:rsidRPr="004740B0">
        <w:t>Waterborne outbreaks have been associated with loading poor quality water. Therefore, the first waterborne disease prevention strategy should be to load ships with the safest water available at port. To support this objective, ports should make good quality potable water available to ships.</w:t>
      </w:r>
    </w:p>
    <w:p w14:paraId="041E3318" w14:textId="77777777" w:rsidR="003741ED" w:rsidRPr="004740B0" w:rsidRDefault="003741ED" w:rsidP="00AA3E21"/>
    <w:p w14:paraId="041E3319" w14:textId="77777777" w:rsidR="003741ED" w:rsidRPr="004740B0" w:rsidRDefault="003741ED" w:rsidP="00AA3E21">
      <w:r w:rsidRPr="004740B0">
        <w:t xml:space="preserve">Potable water for ships, including water-boats and water-barges, needs to be obtained only from those water sources and water supplies that provide potable water of a quality in line with the standards recommended in the </w:t>
      </w:r>
      <w:r w:rsidRPr="004740B0">
        <w:rPr>
          <w:i/>
        </w:rPr>
        <w:t>Guidelines for Drinking-water Quality</w:t>
      </w:r>
      <w:r w:rsidRPr="004740B0">
        <w:t xml:space="preserve"> (WHO 2004), especially in relation to bacteriological requirements and chemical and physical requirements.</w:t>
      </w:r>
    </w:p>
    <w:p w14:paraId="041E331A" w14:textId="77777777" w:rsidR="003741ED" w:rsidRPr="004740B0" w:rsidRDefault="003741ED" w:rsidP="00AA3E21"/>
    <w:p w14:paraId="041E331B" w14:textId="77777777" w:rsidR="003741ED" w:rsidRPr="004740B0" w:rsidRDefault="003741ED" w:rsidP="00AA3E21">
      <w:r w:rsidRPr="004740B0">
        <w:t>Potable water would typically need to be obtained from those watering points approved by the health administration or health authority. Facilities include piping, hydrants, hoses and any other equipment necessary for the delivery of water from shore sources at the pier or wharf area to the filling line for the ship</w:t>
      </w:r>
      <w:r>
        <w:t>’</w:t>
      </w:r>
      <w:r w:rsidRPr="004740B0">
        <w:t>s potable water system. Plans for the construction or replacement of facilities for loading potable water aboard vessels would typically be submitted to the port health authority or other designated authority for review.</w:t>
      </w:r>
    </w:p>
    <w:p w14:paraId="041E331C" w14:textId="77777777" w:rsidR="003741ED" w:rsidRPr="004740B0" w:rsidRDefault="003741ED" w:rsidP="00AA3E21"/>
    <w:p w14:paraId="041E331D" w14:textId="77777777" w:rsidR="003741ED" w:rsidRDefault="003741ED" w:rsidP="00AA3E21">
      <w:r w:rsidRPr="004740B0">
        <w:t>For further information, see WHO (2007 and 2011a).</w:t>
      </w:r>
    </w:p>
    <w:p w14:paraId="041E331E" w14:textId="77777777" w:rsidR="003741ED" w:rsidRPr="004740B0" w:rsidRDefault="003741ED" w:rsidP="00AA3E21"/>
    <w:p w14:paraId="041E331F" w14:textId="77777777" w:rsidR="003741ED" w:rsidRDefault="003741ED" w:rsidP="00AA3E21">
      <w:r w:rsidRPr="004740B0">
        <w:t>N</w:t>
      </w:r>
      <w:r>
        <w:t>ote</w:t>
      </w:r>
      <w:r w:rsidRPr="004740B0">
        <w:t>:</w:t>
      </w:r>
      <w:r>
        <w:t xml:space="preserve"> </w:t>
      </w:r>
      <w:r w:rsidRPr="004740B0">
        <w:t xml:space="preserve">The International Health Regulations (2005), hereafter referred to as IHR (2005), are an international WHO legal framework addressing risks of international disease spread and legally binding on 194 </w:t>
      </w:r>
      <w:r>
        <w:t>s</w:t>
      </w:r>
      <w:r w:rsidRPr="004740B0">
        <w:t xml:space="preserve">tates </w:t>
      </w:r>
      <w:r>
        <w:t>p</w:t>
      </w:r>
      <w:r w:rsidRPr="004740B0">
        <w:t xml:space="preserve">arties throughout the world, including all 193 WHO </w:t>
      </w:r>
      <w:r>
        <w:t>m</w:t>
      </w:r>
      <w:r w:rsidRPr="004740B0">
        <w:t xml:space="preserve">ember </w:t>
      </w:r>
      <w:r>
        <w:t>s</w:t>
      </w:r>
      <w:r w:rsidRPr="004740B0">
        <w:t xml:space="preserve">tates. The IHR (2005) are very broad, focusing upon almost all serious public health risks that might spread internationally, whether biological, chemical or radionuclear in origin, and whether transmissible in goods (including food), by persons, on conveyances (aircraft, ships, vehicles), through vectors or through the environment. The IHR (2005) contain rights and obligations for </w:t>
      </w:r>
      <w:r>
        <w:t>s</w:t>
      </w:r>
      <w:r w:rsidRPr="004740B0">
        <w:t xml:space="preserve">tates </w:t>
      </w:r>
      <w:r>
        <w:t>p</w:t>
      </w:r>
      <w:r w:rsidRPr="004740B0">
        <w:t xml:space="preserve">arties (and functions for WHO) concerning prevention, surveillance and response; health measures applied by States to international travellers, aircraft, ships, ground vehicles and goods; and public health at international ports, airports and ground crossings. For more information, see </w:t>
      </w:r>
      <w:hyperlink r:id="rId38" w:history="1">
        <w:r w:rsidRPr="004740B0">
          <w:rPr>
            <w:rStyle w:val="Hyperlink"/>
            <w:szCs w:val="22"/>
          </w:rPr>
          <w:t>http://www.who.int/csr/ihr/en/</w:t>
        </w:r>
      </w:hyperlink>
      <w:r w:rsidRPr="004740B0">
        <w:t>.</w:t>
      </w:r>
    </w:p>
    <w:p w14:paraId="041E3320" w14:textId="77777777" w:rsidR="003741ED" w:rsidRDefault="003741ED" w:rsidP="00AA3E21"/>
    <w:p w14:paraId="041E3321" w14:textId="77777777" w:rsidR="003741ED" w:rsidRDefault="003741ED" w:rsidP="00AA3E21">
      <w:pPr>
        <w:pStyle w:val="Heading2"/>
      </w:pPr>
      <w:bookmarkStart w:id="246" w:name="_Toc2333464"/>
      <w:bookmarkStart w:id="247" w:name="_Toc8979349"/>
      <w:r>
        <w:t>Emergency supplies and emergencies</w:t>
      </w:r>
      <w:bookmarkEnd w:id="246"/>
      <w:bookmarkEnd w:id="247"/>
    </w:p>
    <w:p w14:paraId="041E3322" w14:textId="77777777" w:rsidR="003741ED" w:rsidRDefault="003741ED" w:rsidP="00AA3E21">
      <w:r>
        <w:t>Emergencies may result from contamination of the source water, loss of supply from the source due to drought or flood damage, failure at the treatment plant, or distribution system problems due to main breaks, pump failure, power supply failure, earthquake, etc.</w:t>
      </w:r>
    </w:p>
    <w:p w14:paraId="041E3323" w14:textId="77777777" w:rsidR="003741ED" w:rsidRDefault="003741ED" w:rsidP="00AA3E21"/>
    <w:p w14:paraId="041E3324" w14:textId="77777777" w:rsidR="003741ED" w:rsidRDefault="003741ED" w:rsidP="00AA3E21">
      <w:r>
        <w:t>Emergencies and contingencies are discussed in a general or planning manner in Chapter 2 of the Guidelines, sections 2.1, 2.2, 2.2.2.3, 2.2.2.4, 2.2.2.5, 2.2.3, and 2.2.4.2.</w:t>
      </w:r>
    </w:p>
    <w:p w14:paraId="041E3325" w14:textId="77777777" w:rsidR="003741ED" w:rsidRDefault="003741ED" w:rsidP="00AA3E21"/>
    <w:p w14:paraId="041E3326" w14:textId="77777777" w:rsidR="003741ED" w:rsidRDefault="003741ED" w:rsidP="00AA3E21">
      <w:r>
        <w:t>When the drinking-water may not be safe to drink, some water suppliers invoke a boil water notice (Chapter 6 includes an Appendix: Boil Water Notices). Other water suppliers may deliver water by tanker: see section 1.5.4 of these Guidelines and Ministry of Health (2008).</w:t>
      </w:r>
    </w:p>
    <w:p w14:paraId="041E3327" w14:textId="77777777" w:rsidR="003741ED" w:rsidRDefault="003741ED" w:rsidP="00AA3E21"/>
    <w:p w14:paraId="041E3328" w14:textId="77777777" w:rsidR="003741ED" w:rsidRDefault="003741ED" w:rsidP="00AA3E21">
      <w:r>
        <w:t>Some water suppliers have developed emergency water supplies specifically for longer term use after events such as earthquakes.</w:t>
      </w:r>
    </w:p>
    <w:p w14:paraId="041E3329" w14:textId="77777777" w:rsidR="003741ED" w:rsidRDefault="003741ED" w:rsidP="00AA3E21"/>
    <w:p w14:paraId="041E332A" w14:textId="77777777" w:rsidR="003741ED" w:rsidRDefault="003741ED" w:rsidP="00AA3E21">
      <w:r>
        <w:t>Emergency supplies must meet Priority 1 MAVs or requirements.</w:t>
      </w:r>
    </w:p>
    <w:p w14:paraId="041E332B" w14:textId="77777777" w:rsidR="003741ED" w:rsidRDefault="003741ED" w:rsidP="00AA3E21"/>
    <w:p w14:paraId="041E332C" w14:textId="77777777" w:rsidR="003741ED" w:rsidRDefault="003741ED" w:rsidP="00AA3E21">
      <w:r>
        <w:t>However, chemical determinands are less serious because their MAVs are based on consumption of two litres per day over a lifetime, ie, chronic MAVs. Aesthetic determinands are even less serious, unless the taste or odour is sufficient to cause consumers to seek an alternative, and possibly less safe, source.</w:t>
      </w:r>
    </w:p>
    <w:p w14:paraId="041E332D" w14:textId="77777777" w:rsidR="003741ED" w:rsidRDefault="003741ED" w:rsidP="00AA3E21"/>
    <w:p w14:paraId="041E332E" w14:textId="77777777" w:rsidR="003741ED" w:rsidRDefault="003741ED" w:rsidP="00AA3E21">
      <w:r>
        <w:t>During an emergency the concentration of a chemical determinand may exceed its MAV. Whether this is important will depend on the chemical, its concentration and duration. See section 10.2.3 and, particularly, section 10.2.5 of the Guidelines for discussion about acute MAVs and their derivation.</w:t>
      </w:r>
    </w:p>
    <w:p w14:paraId="041E332F" w14:textId="77777777" w:rsidR="003741ED" w:rsidRDefault="003741ED" w:rsidP="00AA3E21"/>
    <w:p w14:paraId="041E3330" w14:textId="77777777" w:rsidR="003741ED" w:rsidRDefault="003741ED" w:rsidP="00AA3E21">
      <w:r>
        <w:t>Chemical determinands can cause health or aesthetic issues due to volcanic eruptions, or accidental discharges or spills upstream of a water supply intake. Managers of water supplies at risk are advised to communicate with the various organisations in their area with responsibility for managing hazardous wastes. These include the Fire Service, NZ EPA, Police, regional councils and territorial local authorities. T</w:t>
      </w:r>
      <w:r w:rsidRPr="0020332A">
        <w:t>he National HazMa</w:t>
      </w:r>
      <w:r>
        <w:t>t Coordination Committee (NHCC) is</w:t>
      </w:r>
      <w:r w:rsidRPr="0020332A">
        <w:t xml:space="preserve"> chaired by the NZFS, </w:t>
      </w:r>
      <w:r>
        <w:t xml:space="preserve">and </w:t>
      </w:r>
      <w:r w:rsidRPr="0020332A">
        <w:t>comprise</w:t>
      </w:r>
      <w:r>
        <w:t>s</w:t>
      </w:r>
      <w:r w:rsidRPr="0020332A">
        <w:t xml:space="preserve"> senior representatives from the NZ EPA, Worksafe New Zealand, New Zealand Police, the Ministry of Health, Maritime New Zealand, Civil Aviation Authority, New Zealand Defence Force, and Responsible Care New Zealand.</w:t>
      </w:r>
    </w:p>
    <w:p w14:paraId="041E3331" w14:textId="77777777" w:rsidR="003741ED" w:rsidRDefault="003741ED" w:rsidP="00AA3E21"/>
    <w:p w14:paraId="041E3332" w14:textId="77777777" w:rsidR="003741ED" w:rsidRDefault="003741ED" w:rsidP="00AA3E21">
      <w:r>
        <w:t>Bush fires are common in Australia and can have serious effects on water supplies. Their Department of Health has published guidance for people using rainwater supplies, Australian DoH (2011). Guidance on fire retardant chemicals</w:t>
      </w:r>
      <w:r w:rsidRPr="000B6C48">
        <w:t xml:space="preserve"> </w:t>
      </w:r>
      <w:r>
        <w:t>has also been published, see Victoria State Gov</w:t>
      </w:r>
      <w:r w:rsidR="0090649D">
        <w:t>ernmen</w:t>
      </w:r>
      <w:r>
        <w:t>t (2015) and Queensland Gov</w:t>
      </w:r>
      <w:r w:rsidR="0090649D">
        <w:t>ernmen</w:t>
      </w:r>
      <w:r>
        <w:t>t (2018).</w:t>
      </w:r>
    </w:p>
    <w:p w14:paraId="041E3333" w14:textId="77777777" w:rsidR="003741ED" w:rsidRDefault="003741ED" w:rsidP="00AA3E21"/>
    <w:p w14:paraId="041E3334" w14:textId="77777777" w:rsidR="003741ED" w:rsidRDefault="003741ED" w:rsidP="00AA3E21">
      <w:pPr>
        <w:pStyle w:val="Heading2"/>
        <w:numPr>
          <w:ilvl w:val="0"/>
          <w:numId w:val="0"/>
        </w:numPr>
      </w:pPr>
      <w:bookmarkStart w:id="248" w:name="_Toc364704712"/>
      <w:bookmarkStart w:id="249" w:name="_Toc2333465"/>
      <w:bookmarkStart w:id="250" w:name="_Toc8979350"/>
      <w:r>
        <w:t>Appendix 1</w:t>
      </w:r>
      <w:r w:rsidRPr="00A9688B">
        <w:t>:</w:t>
      </w:r>
      <w:r>
        <w:t xml:space="preserve"> </w:t>
      </w:r>
      <w:r w:rsidRPr="00A9688B">
        <w:t xml:space="preserve">Statistical </w:t>
      </w:r>
      <w:r>
        <w:t>i</w:t>
      </w:r>
      <w:r w:rsidRPr="00A9688B">
        <w:t xml:space="preserve">ssues </w:t>
      </w:r>
      <w:r>
        <w:t>t</w:t>
      </w:r>
      <w:r w:rsidRPr="00A9688B">
        <w:t xml:space="preserve">hat </w:t>
      </w:r>
      <w:r>
        <w:t>r</w:t>
      </w:r>
      <w:r w:rsidRPr="00A9688B">
        <w:t xml:space="preserve">elate </w:t>
      </w:r>
      <w:r>
        <w:t>t</w:t>
      </w:r>
      <w:r w:rsidRPr="00A9688B">
        <w:t xml:space="preserve">o </w:t>
      </w:r>
      <w:r>
        <w:t>t</w:t>
      </w:r>
      <w:r w:rsidRPr="00A9688B">
        <w:t xml:space="preserve">he </w:t>
      </w:r>
      <w:r>
        <w:t>D</w:t>
      </w:r>
      <w:r w:rsidRPr="00A9688B">
        <w:t>rinking-</w:t>
      </w:r>
      <w:r>
        <w:t>w</w:t>
      </w:r>
      <w:r w:rsidRPr="00A9688B">
        <w:t xml:space="preserve">ater </w:t>
      </w:r>
      <w:r>
        <w:t>S</w:t>
      </w:r>
      <w:r w:rsidRPr="00A9688B">
        <w:t xml:space="preserve">tandards </w:t>
      </w:r>
      <w:r>
        <w:t>o</w:t>
      </w:r>
      <w:r w:rsidRPr="00A9688B">
        <w:t>f New Zealand</w:t>
      </w:r>
      <w:bookmarkEnd w:id="248"/>
      <w:bookmarkEnd w:id="249"/>
      <w:bookmarkEnd w:id="250"/>
    </w:p>
    <w:p w14:paraId="041E3335" w14:textId="77777777" w:rsidR="00AC5E4A" w:rsidRDefault="003741ED" w:rsidP="00AC5E4A">
      <w:pPr>
        <w:pStyle w:val="Contents"/>
        <w:rPr>
          <w:noProof/>
        </w:rPr>
      </w:pPr>
      <w:r w:rsidRPr="00AA3E21">
        <w:t>Contents</w:t>
      </w:r>
      <w:r w:rsidR="00AC5E4A">
        <w:rPr>
          <w:sz w:val="40"/>
        </w:rPr>
        <w:fldChar w:fldCharType="begin"/>
      </w:r>
      <w:r w:rsidR="00AC5E4A">
        <w:rPr>
          <w:sz w:val="40"/>
        </w:rPr>
        <w:instrText xml:space="preserve"> TOC \t "Heading 2 - appendix,1,Heading 3 - appendix,2" </w:instrText>
      </w:r>
      <w:r w:rsidR="00AC5E4A">
        <w:rPr>
          <w:sz w:val="40"/>
        </w:rPr>
        <w:fldChar w:fldCharType="separate"/>
      </w:r>
    </w:p>
    <w:p w14:paraId="041E3336" w14:textId="77777777" w:rsidR="00AC5E4A" w:rsidRDefault="00AC5E4A">
      <w:pPr>
        <w:pStyle w:val="TOC1"/>
        <w:rPr>
          <w:rFonts w:asciiTheme="minorHAnsi" w:eastAsiaTheme="minorEastAsia" w:hAnsiTheme="minorHAnsi" w:cstheme="minorBidi"/>
          <w:noProof/>
          <w:sz w:val="22"/>
          <w:szCs w:val="22"/>
          <w:lang w:eastAsia="en-NZ"/>
        </w:rPr>
      </w:pPr>
      <w:r>
        <w:rPr>
          <w:noProof/>
        </w:rPr>
        <w:t>A1</w:t>
      </w:r>
      <w:r>
        <w:rPr>
          <w:rFonts w:asciiTheme="minorHAnsi" w:eastAsiaTheme="minorEastAsia" w:hAnsiTheme="minorHAnsi" w:cstheme="minorBidi"/>
          <w:noProof/>
          <w:sz w:val="22"/>
          <w:szCs w:val="22"/>
          <w:lang w:eastAsia="en-NZ"/>
        </w:rPr>
        <w:tab/>
      </w:r>
      <w:r>
        <w:rPr>
          <w:noProof/>
        </w:rPr>
        <w:t>Compliance rules for percentile standards</w:t>
      </w:r>
      <w:r>
        <w:rPr>
          <w:noProof/>
        </w:rPr>
        <w:tab/>
      </w:r>
      <w:r>
        <w:rPr>
          <w:noProof/>
        </w:rPr>
        <w:fldChar w:fldCharType="begin"/>
      </w:r>
      <w:r>
        <w:rPr>
          <w:noProof/>
        </w:rPr>
        <w:instrText xml:space="preserve"> PAGEREF _Toc8978851 \h </w:instrText>
      </w:r>
      <w:r>
        <w:rPr>
          <w:noProof/>
        </w:rPr>
      </w:r>
      <w:r>
        <w:rPr>
          <w:noProof/>
        </w:rPr>
        <w:fldChar w:fldCharType="separate"/>
      </w:r>
      <w:r w:rsidR="00BC7B71">
        <w:rPr>
          <w:noProof/>
        </w:rPr>
        <w:t>50</w:t>
      </w:r>
      <w:r>
        <w:rPr>
          <w:noProof/>
        </w:rPr>
        <w:fldChar w:fldCharType="end"/>
      </w:r>
    </w:p>
    <w:p w14:paraId="041E3337" w14:textId="77777777" w:rsidR="00AC5E4A" w:rsidRDefault="00AC5E4A" w:rsidP="00AC5E4A">
      <w:pPr>
        <w:pStyle w:val="TOC2"/>
        <w:ind w:left="1702"/>
        <w:rPr>
          <w:rFonts w:asciiTheme="minorHAnsi" w:eastAsiaTheme="minorEastAsia" w:hAnsiTheme="minorHAnsi" w:cstheme="minorBidi"/>
          <w:noProof/>
          <w:szCs w:val="22"/>
          <w:lang w:eastAsia="en-NZ"/>
        </w:rPr>
      </w:pPr>
      <w:r>
        <w:rPr>
          <w:noProof/>
        </w:rPr>
        <w:t>Classical evaluation of risks</w:t>
      </w:r>
      <w:r>
        <w:rPr>
          <w:noProof/>
        </w:rPr>
        <w:tab/>
      </w:r>
      <w:r>
        <w:rPr>
          <w:noProof/>
        </w:rPr>
        <w:fldChar w:fldCharType="begin"/>
      </w:r>
      <w:r>
        <w:rPr>
          <w:noProof/>
        </w:rPr>
        <w:instrText xml:space="preserve"> PAGEREF _Toc8978852 \h </w:instrText>
      </w:r>
      <w:r>
        <w:rPr>
          <w:noProof/>
        </w:rPr>
      </w:r>
      <w:r>
        <w:rPr>
          <w:noProof/>
        </w:rPr>
        <w:fldChar w:fldCharType="separate"/>
      </w:r>
      <w:r w:rsidR="00BC7B71">
        <w:rPr>
          <w:noProof/>
        </w:rPr>
        <w:t>50</w:t>
      </w:r>
      <w:r>
        <w:rPr>
          <w:noProof/>
        </w:rPr>
        <w:fldChar w:fldCharType="end"/>
      </w:r>
    </w:p>
    <w:p w14:paraId="041E3338" w14:textId="77777777" w:rsidR="00AC5E4A" w:rsidRDefault="00AC5E4A" w:rsidP="00AC5E4A">
      <w:pPr>
        <w:pStyle w:val="TOC2"/>
        <w:ind w:left="1702"/>
        <w:rPr>
          <w:rFonts w:asciiTheme="minorHAnsi" w:eastAsiaTheme="minorEastAsia" w:hAnsiTheme="minorHAnsi" w:cstheme="minorBidi"/>
          <w:noProof/>
          <w:szCs w:val="22"/>
          <w:lang w:eastAsia="en-NZ"/>
        </w:rPr>
      </w:pPr>
      <w:r>
        <w:rPr>
          <w:noProof/>
        </w:rPr>
        <w:t>Bayesian evaluation of risks</w:t>
      </w:r>
      <w:r>
        <w:rPr>
          <w:noProof/>
        </w:rPr>
        <w:tab/>
      </w:r>
      <w:r>
        <w:rPr>
          <w:noProof/>
        </w:rPr>
        <w:fldChar w:fldCharType="begin"/>
      </w:r>
      <w:r>
        <w:rPr>
          <w:noProof/>
        </w:rPr>
        <w:instrText xml:space="preserve"> PAGEREF _Toc8978853 \h </w:instrText>
      </w:r>
      <w:r>
        <w:rPr>
          <w:noProof/>
        </w:rPr>
      </w:r>
      <w:r>
        <w:rPr>
          <w:noProof/>
        </w:rPr>
        <w:fldChar w:fldCharType="separate"/>
      </w:r>
      <w:r w:rsidR="00BC7B71">
        <w:rPr>
          <w:noProof/>
        </w:rPr>
        <w:t>52</w:t>
      </w:r>
      <w:r>
        <w:rPr>
          <w:noProof/>
        </w:rPr>
        <w:fldChar w:fldCharType="end"/>
      </w:r>
    </w:p>
    <w:p w14:paraId="041E3339" w14:textId="77777777" w:rsidR="00AC5E4A" w:rsidRDefault="00AC5E4A" w:rsidP="00AC5E4A">
      <w:pPr>
        <w:pStyle w:val="TOC2"/>
        <w:ind w:left="1702"/>
        <w:rPr>
          <w:rFonts w:asciiTheme="minorHAnsi" w:eastAsiaTheme="minorEastAsia" w:hAnsiTheme="minorHAnsi" w:cstheme="minorBidi"/>
          <w:noProof/>
          <w:szCs w:val="22"/>
          <w:lang w:eastAsia="en-NZ"/>
        </w:rPr>
      </w:pPr>
      <w:r>
        <w:rPr>
          <w:noProof/>
        </w:rPr>
        <w:t>Choice of priors</w:t>
      </w:r>
      <w:r>
        <w:rPr>
          <w:noProof/>
        </w:rPr>
        <w:tab/>
      </w:r>
      <w:r>
        <w:rPr>
          <w:noProof/>
        </w:rPr>
        <w:fldChar w:fldCharType="begin"/>
      </w:r>
      <w:r>
        <w:rPr>
          <w:noProof/>
        </w:rPr>
        <w:instrText xml:space="preserve"> PAGEREF _Toc8978854 \h </w:instrText>
      </w:r>
      <w:r>
        <w:rPr>
          <w:noProof/>
        </w:rPr>
      </w:r>
      <w:r>
        <w:rPr>
          <w:noProof/>
        </w:rPr>
        <w:fldChar w:fldCharType="separate"/>
      </w:r>
      <w:r w:rsidR="00BC7B71">
        <w:rPr>
          <w:noProof/>
        </w:rPr>
        <w:t>53</w:t>
      </w:r>
      <w:r>
        <w:rPr>
          <w:noProof/>
        </w:rPr>
        <w:fldChar w:fldCharType="end"/>
      </w:r>
    </w:p>
    <w:p w14:paraId="041E333A" w14:textId="77777777" w:rsidR="00AC5E4A" w:rsidRDefault="00AC5E4A" w:rsidP="00AC5E4A">
      <w:pPr>
        <w:pStyle w:val="TOC2"/>
        <w:ind w:left="1702"/>
        <w:rPr>
          <w:rFonts w:asciiTheme="minorHAnsi" w:eastAsiaTheme="minorEastAsia" w:hAnsiTheme="minorHAnsi" w:cstheme="minorBidi"/>
          <w:noProof/>
          <w:szCs w:val="22"/>
          <w:lang w:eastAsia="en-NZ"/>
        </w:rPr>
      </w:pPr>
      <w:r>
        <w:rPr>
          <w:noProof/>
        </w:rPr>
        <w:t>Timeframe for compliance</w:t>
      </w:r>
      <w:r>
        <w:rPr>
          <w:noProof/>
        </w:rPr>
        <w:tab/>
      </w:r>
      <w:r>
        <w:rPr>
          <w:noProof/>
        </w:rPr>
        <w:fldChar w:fldCharType="begin"/>
      </w:r>
      <w:r>
        <w:rPr>
          <w:noProof/>
        </w:rPr>
        <w:instrText xml:space="preserve"> PAGEREF _Toc8978855 \h </w:instrText>
      </w:r>
      <w:r>
        <w:rPr>
          <w:noProof/>
        </w:rPr>
      </w:r>
      <w:r>
        <w:rPr>
          <w:noProof/>
        </w:rPr>
        <w:fldChar w:fldCharType="separate"/>
      </w:r>
      <w:r w:rsidR="00BC7B71">
        <w:rPr>
          <w:noProof/>
        </w:rPr>
        <w:t>53</w:t>
      </w:r>
      <w:r>
        <w:rPr>
          <w:noProof/>
        </w:rPr>
        <w:fldChar w:fldCharType="end"/>
      </w:r>
    </w:p>
    <w:p w14:paraId="041E333B" w14:textId="77777777" w:rsidR="00AC5E4A" w:rsidRDefault="00AC5E4A" w:rsidP="00AC5E4A">
      <w:pPr>
        <w:pStyle w:val="TOC2"/>
        <w:ind w:left="1702"/>
        <w:rPr>
          <w:rFonts w:asciiTheme="minorHAnsi" w:eastAsiaTheme="minorEastAsia" w:hAnsiTheme="minorHAnsi" w:cstheme="minorBidi"/>
          <w:noProof/>
          <w:szCs w:val="22"/>
          <w:lang w:eastAsia="en-NZ"/>
        </w:rPr>
      </w:pPr>
      <w:r>
        <w:rPr>
          <w:noProof/>
        </w:rPr>
        <w:t>Compliance for small supplies</w:t>
      </w:r>
      <w:r>
        <w:rPr>
          <w:noProof/>
        </w:rPr>
        <w:tab/>
      </w:r>
      <w:r>
        <w:rPr>
          <w:noProof/>
        </w:rPr>
        <w:fldChar w:fldCharType="begin"/>
      </w:r>
      <w:r>
        <w:rPr>
          <w:noProof/>
        </w:rPr>
        <w:instrText xml:space="preserve"> PAGEREF _Toc8978856 \h </w:instrText>
      </w:r>
      <w:r>
        <w:rPr>
          <w:noProof/>
        </w:rPr>
      </w:r>
      <w:r>
        <w:rPr>
          <w:noProof/>
        </w:rPr>
        <w:fldChar w:fldCharType="separate"/>
      </w:r>
      <w:r w:rsidR="00BC7B71">
        <w:rPr>
          <w:noProof/>
        </w:rPr>
        <w:t>54</w:t>
      </w:r>
      <w:r>
        <w:rPr>
          <w:noProof/>
        </w:rPr>
        <w:fldChar w:fldCharType="end"/>
      </w:r>
    </w:p>
    <w:p w14:paraId="041E333C" w14:textId="77777777" w:rsidR="00AC5E4A" w:rsidRDefault="00AC5E4A" w:rsidP="00AC5E4A">
      <w:pPr>
        <w:pStyle w:val="TOC2"/>
        <w:ind w:left="1702"/>
        <w:rPr>
          <w:rFonts w:asciiTheme="minorHAnsi" w:eastAsiaTheme="minorEastAsia" w:hAnsiTheme="minorHAnsi" w:cstheme="minorBidi"/>
          <w:noProof/>
          <w:szCs w:val="22"/>
          <w:lang w:eastAsia="en-NZ"/>
        </w:rPr>
      </w:pPr>
      <w:r>
        <w:rPr>
          <w:noProof/>
        </w:rPr>
        <w:t>Compliance for other supplies</w:t>
      </w:r>
      <w:r>
        <w:rPr>
          <w:noProof/>
        </w:rPr>
        <w:tab/>
      </w:r>
      <w:r>
        <w:rPr>
          <w:noProof/>
        </w:rPr>
        <w:fldChar w:fldCharType="begin"/>
      </w:r>
      <w:r>
        <w:rPr>
          <w:noProof/>
        </w:rPr>
        <w:instrText xml:space="preserve"> PAGEREF _Toc8978857 \h </w:instrText>
      </w:r>
      <w:r>
        <w:rPr>
          <w:noProof/>
        </w:rPr>
      </w:r>
      <w:r>
        <w:rPr>
          <w:noProof/>
        </w:rPr>
        <w:fldChar w:fldCharType="separate"/>
      </w:r>
      <w:r w:rsidR="00BC7B71">
        <w:rPr>
          <w:noProof/>
        </w:rPr>
        <w:t>54</w:t>
      </w:r>
      <w:r>
        <w:rPr>
          <w:noProof/>
        </w:rPr>
        <w:fldChar w:fldCharType="end"/>
      </w:r>
    </w:p>
    <w:p w14:paraId="041E333D" w14:textId="77777777" w:rsidR="00AC5E4A" w:rsidRDefault="00AC5E4A">
      <w:pPr>
        <w:pStyle w:val="TOC1"/>
        <w:rPr>
          <w:rFonts w:asciiTheme="minorHAnsi" w:eastAsiaTheme="minorEastAsia" w:hAnsiTheme="minorHAnsi" w:cstheme="minorBidi"/>
          <w:noProof/>
          <w:sz w:val="22"/>
          <w:szCs w:val="22"/>
          <w:lang w:eastAsia="en-NZ"/>
        </w:rPr>
      </w:pPr>
      <w:r>
        <w:rPr>
          <w:noProof/>
        </w:rPr>
        <w:t>A2</w:t>
      </w:r>
      <w:r>
        <w:rPr>
          <w:rFonts w:asciiTheme="minorHAnsi" w:eastAsiaTheme="minorEastAsia" w:hAnsiTheme="minorHAnsi" w:cstheme="minorBidi"/>
          <w:noProof/>
          <w:sz w:val="22"/>
          <w:szCs w:val="22"/>
          <w:lang w:eastAsia="en-NZ"/>
        </w:rPr>
        <w:tab/>
      </w:r>
      <w:r>
        <w:rPr>
          <w:noProof/>
        </w:rPr>
        <w:t>Handling non-detects</w:t>
      </w:r>
      <w:r>
        <w:rPr>
          <w:noProof/>
        </w:rPr>
        <w:tab/>
      </w:r>
      <w:r>
        <w:rPr>
          <w:noProof/>
        </w:rPr>
        <w:fldChar w:fldCharType="begin"/>
      </w:r>
      <w:r>
        <w:rPr>
          <w:noProof/>
        </w:rPr>
        <w:instrText xml:space="preserve"> PAGEREF _Toc8978858 \h </w:instrText>
      </w:r>
      <w:r>
        <w:rPr>
          <w:noProof/>
        </w:rPr>
      </w:r>
      <w:r>
        <w:rPr>
          <w:noProof/>
        </w:rPr>
        <w:fldChar w:fldCharType="separate"/>
      </w:r>
      <w:r w:rsidR="00BC7B71">
        <w:rPr>
          <w:noProof/>
        </w:rPr>
        <w:t>56</w:t>
      </w:r>
      <w:r>
        <w:rPr>
          <w:noProof/>
        </w:rPr>
        <w:fldChar w:fldCharType="end"/>
      </w:r>
    </w:p>
    <w:p w14:paraId="041E333E" w14:textId="77777777" w:rsidR="003741ED" w:rsidRDefault="00AC5E4A" w:rsidP="00AC5E4A">
      <w:r>
        <w:fldChar w:fldCharType="end"/>
      </w:r>
    </w:p>
    <w:p w14:paraId="041E333F" w14:textId="77777777" w:rsidR="003741ED" w:rsidRPr="00AA3E21" w:rsidRDefault="003741ED" w:rsidP="0028578D">
      <w:pPr>
        <w:pStyle w:val="TOC1"/>
        <w:spacing w:before="120"/>
      </w:pPr>
      <w:r>
        <w:t>List of tables</w:t>
      </w:r>
    </w:p>
    <w:p w14:paraId="041E3340" w14:textId="77777777" w:rsidR="00AC5E4A" w:rsidRDefault="00AC5E4A">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 - appendix,3" </w:instrText>
      </w:r>
      <w:r>
        <w:rPr>
          <w:lang w:eastAsia="en-US"/>
        </w:rPr>
        <w:fldChar w:fldCharType="separate"/>
      </w:r>
      <w:r>
        <w:rPr>
          <w:noProof/>
        </w:rPr>
        <w:t>Table A1.1:</w:t>
      </w:r>
      <w:r>
        <w:rPr>
          <w:noProof/>
        </w:rPr>
        <w:tab/>
        <w:t>Numbers of samples and allowable transgressions needed to keep maximum risks below 5 percent when assessing compliance with a 95th percentile standard</w:t>
      </w:r>
      <w:r>
        <w:rPr>
          <w:noProof/>
        </w:rPr>
        <w:tab/>
      </w:r>
      <w:r>
        <w:rPr>
          <w:noProof/>
        </w:rPr>
        <w:fldChar w:fldCharType="begin"/>
      </w:r>
      <w:r>
        <w:rPr>
          <w:noProof/>
        </w:rPr>
        <w:instrText xml:space="preserve"> PAGEREF _Toc8978900 \h </w:instrText>
      </w:r>
      <w:r>
        <w:rPr>
          <w:noProof/>
        </w:rPr>
      </w:r>
      <w:r>
        <w:rPr>
          <w:noProof/>
        </w:rPr>
        <w:fldChar w:fldCharType="separate"/>
      </w:r>
      <w:r w:rsidR="00BC7B71">
        <w:rPr>
          <w:noProof/>
        </w:rPr>
        <w:t>51</w:t>
      </w:r>
      <w:r>
        <w:rPr>
          <w:noProof/>
        </w:rPr>
        <w:fldChar w:fldCharType="end"/>
      </w:r>
    </w:p>
    <w:p w14:paraId="041E3341" w14:textId="77777777" w:rsidR="00AC5E4A" w:rsidRDefault="00AC5E4A">
      <w:pPr>
        <w:pStyle w:val="TOC3"/>
        <w:rPr>
          <w:rFonts w:asciiTheme="minorHAnsi" w:eastAsiaTheme="minorEastAsia" w:hAnsiTheme="minorHAnsi" w:cstheme="minorBidi"/>
          <w:noProof/>
          <w:sz w:val="22"/>
          <w:szCs w:val="22"/>
          <w:lang w:eastAsia="en-NZ"/>
        </w:rPr>
      </w:pPr>
      <w:r>
        <w:rPr>
          <w:noProof/>
        </w:rPr>
        <w:t>Table A1.2:</w:t>
      </w:r>
      <w:r>
        <w:rPr>
          <w:noProof/>
        </w:rPr>
        <w:tab/>
        <w:t>Allowable exceedances (for 95 percent conﬁdence that the MAV is exceeded for no more than 5 percent of the time)</w:t>
      </w:r>
      <w:r>
        <w:rPr>
          <w:noProof/>
        </w:rPr>
        <w:tab/>
      </w:r>
      <w:r>
        <w:rPr>
          <w:noProof/>
        </w:rPr>
        <w:fldChar w:fldCharType="begin"/>
      </w:r>
      <w:r>
        <w:rPr>
          <w:noProof/>
        </w:rPr>
        <w:instrText xml:space="preserve"> PAGEREF _Toc8978901 \h </w:instrText>
      </w:r>
      <w:r>
        <w:rPr>
          <w:noProof/>
        </w:rPr>
      </w:r>
      <w:r>
        <w:rPr>
          <w:noProof/>
        </w:rPr>
        <w:fldChar w:fldCharType="separate"/>
      </w:r>
      <w:r w:rsidR="00BC7B71">
        <w:rPr>
          <w:noProof/>
        </w:rPr>
        <w:t>55</w:t>
      </w:r>
      <w:r>
        <w:rPr>
          <w:noProof/>
        </w:rPr>
        <w:fldChar w:fldCharType="end"/>
      </w:r>
    </w:p>
    <w:p w14:paraId="041E3342" w14:textId="77777777" w:rsidR="003741ED" w:rsidRDefault="00AC5E4A" w:rsidP="00AA3E21">
      <w:pPr>
        <w:pStyle w:val="TOC3"/>
      </w:pPr>
      <w:r>
        <w:rPr>
          <w:lang w:eastAsia="en-US"/>
        </w:rPr>
        <w:fldChar w:fldCharType="end"/>
      </w:r>
    </w:p>
    <w:p w14:paraId="041E3343" w14:textId="77777777" w:rsidR="003741ED" w:rsidRDefault="003741ED" w:rsidP="0028578D">
      <w:pPr>
        <w:pStyle w:val="TOC1"/>
        <w:spacing w:before="120"/>
      </w:pPr>
      <w:r>
        <w:t>List of figures</w:t>
      </w:r>
    </w:p>
    <w:p w14:paraId="041E3344" w14:textId="77777777" w:rsidR="00AC5E4A" w:rsidRDefault="00AC5E4A">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"Figure - appendix,3" </w:instrText>
      </w:r>
      <w:r>
        <w:rPr>
          <w:lang w:eastAsia="en-US"/>
        </w:rPr>
        <w:fldChar w:fldCharType="separate"/>
      </w:r>
      <w:r>
        <w:rPr>
          <w:noProof/>
        </w:rPr>
        <w:t>Figure A1:</w:t>
      </w:r>
      <w:r>
        <w:rPr>
          <w:noProof/>
        </w:rPr>
        <w:tab/>
        <w:t>Bayesian confidence of compliance curves for a 95th percentile standard, using Jeffreys’ uninformative</w:t>
      </w:r>
      <w:r>
        <w:rPr>
          <w:noProof/>
        </w:rPr>
        <w:tab/>
      </w:r>
      <w:r>
        <w:rPr>
          <w:noProof/>
        </w:rPr>
        <w:fldChar w:fldCharType="begin"/>
      </w:r>
      <w:r>
        <w:rPr>
          <w:noProof/>
        </w:rPr>
        <w:instrText xml:space="preserve"> PAGEREF _Toc8978928 \h </w:instrText>
      </w:r>
      <w:r>
        <w:rPr>
          <w:noProof/>
        </w:rPr>
      </w:r>
      <w:r>
        <w:rPr>
          <w:noProof/>
        </w:rPr>
        <w:fldChar w:fldCharType="separate"/>
      </w:r>
      <w:r w:rsidR="00BC7B71">
        <w:rPr>
          <w:noProof/>
        </w:rPr>
        <w:t>52</w:t>
      </w:r>
      <w:r>
        <w:rPr>
          <w:noProof/>
        </w:rPr>
        <w:fldChar w:fldCharType="end"/>
      </w:r>
    </w:p>
    <w:p w14:paraId="041E3345" w14:textId="77777777" w:rsidR="00AC5E4A" w:rsidRDefault="00AC5E4A">
      <w:pPr>
        <w:pStyle w:val="TOC3"/>
        <w:rPr>
          <w:rFonts w:asciiTheme="minorHAnsi" w:eastAsiaTheme="minorEastAsia" w:hAnsiTheme="minorHAnsi" w:cstheme="minorBidi"/>
          <w:noProof/>
          <w:sz w:val="22"/>
          <w:szCs w:val="22"/>
          <w:lang w:eastAsia="en-NZ"/>
        </w:rPr>
      </w:pPr>
      <w:r>
        <w:rPr>
          <w:noProof/>
        </w:rPr>
        <w:t>Figure A2:</w:t>
      </w:r>
      <w:r>
        <w:rPr>
          <w:noProof/>
        </w:rPr>
        <w:tab/>
        <w:t>Fitting a lognormal distribution to &gt;L data (where L = 5), and extrapolating back to obtain values of &lt;L data</w:t>
      </w:r>
      <w:r>
        <w:rPr>
          <w:noProof/>
        </w:rPr>
        <w:tab/>
      </w:r>
      <w:r>
        <w:rPr>
          <w:noProof/>
        </w:rPr>
        <w:fldChar w:fldCharType="begin"/>
      </w:r>
      <w:r>
        <w:rPr>
          <w:noProof/>
        </w:rPr>
        <w:instrText xml:space="preserve"> PAGEREF _Toc8978929 \h </w:instrText>
      </w:r>
      <w:r>
        <w:rPr>
          <w:noProof/>
        </w:rPr>
      </w:r>
      <w:r>
        <w:rPr>
          <w:noProof/>
        </w:rPr>
        <w:fldChar w:fldCharType="separate"/>
      </w:r>
      <w:r w:rsidR="00BC7B71">
        <w:rPr>
          <w:noProof/>
        </w:rPr>
        <w:t>57</w:t>
      </w:r>
      <w:r>
        <w:rPr>
          <w:noProof/>
        </w:rPr>
        <w:fldChar w:fldCharType="end"/>
      </w:r>
    </w:p>
    <w:p w14:paraId="041E3346" w14:textId="77777777" w:rsidR="003741ED" w:rsidRDefault="00AC5E4A" w:rsidP="00EA4599">
      <w:pPr>
        <w:pStyle w:val="TOC3"/>
        <w:spacing w:before="480"/>
      </w:pPr>
      <w:r>
        <w:rPr>
          <w:lang w:eastAsia="en-US"/>
        </w:rPr>
        <w:fldChar w:fldCharType="end"/>
      </w:r>
    </w:p>
    <w:p w14:paraId="041E3347" w14:textId="77777777" w:rsidR="003741ED" w:rsidRPr="004740B0" w:rsidRDefault="003741ED" w:rsidP="00AA3E21">
      <w:r w:rsidRPr="004740B0">
        <w:t>Two issues are presented in outline herein:</w:t>
      </w:r>
    </w:p>
    <w:p w14:paraId="041E3348" w14:textId="77777777" w:rsidR="003741ED" w:rsidRPr="00471CDB" w:rsidRDefault="003741ED" w:rsidP="002B1E0A">
      <w:pPr>
        <w:pStyle w:val="Bullet"/>
      </w:pPr>
      <w:r w:rsidRPr="00471CDB">
        <w:t>developing compliance rules for percentile standards</w:t>
      </w:r>
    </w:p>
    <w:p w14:paraId="041E3349" w14:textId="77777777" w:rsidR="003741ED" w:rsidRPr="00471CDB" w:rsidRDefault="003741ED" w:rsidP="002B1E0A">
      <w:pPr>
        <w:pStyle w:val="Bullet"/>
      </w:pPr>
      <w:r w:rsidRPr="00471CDB">
        <w:t>handling non-detect data.</w:t>
      </w:r>
    </w:p>
    <w:p w14:paraId="041E334A" w14:textId="77777777" w:rsidR="003741ED" w:rsidRPr="00471CDB" w:rsidRDefault="003741ED" w:rsidP="002B1E0A"/>
    <w:p w14:paraId="041E334B" w14:textId="77777777" w:rsidR="003741ED" w:rsidRPr="00471CDB" w:rsidRDefault="003741ED" w:rsidP="002B1E0A">
      <w:r w:rsidRPr="00471CDB">
        <w:t>The 1995 Guidelines had a rather full presentation of these, but recent publications: Helsel 2005 and McBride 2005, have elucidated the arguments in full and need not be repeated.</w:t>
      </w:r>
    </w:p>
    <w:p w14:paraId="041E334C" w14:textId="77777777" w:rsidR="003741ED" w:rsidRPr="00471CDB" w:rsidRDefault="003741ED" w:rsidP="002B1E0A"/>
    <w:p w14:paraId="041E334D" w14:textId="77777777" w:rsidR="003741ED" w:rsidRPr="009C67E4" w:rsidRDefault="003741ED" w:rsidP="002B1E0A">
      <w:pPr>
        <w:pStyle w:val="Heading2-appendix"/>
      </w:pPr>
      <w:bookmarkStart w:id="251" w:name="_Toc350762676"/>
      <w:bookmarkStart w:id="252" w:name="_Toc364704713"/>
      <w:bookmarkStart w:id="253" w:name="_Toc8978851"/>
      <w:bookmarkStart w:id="254" w:name="_Toc8979351"/>
      <w:r w:rsidRPr="009C67E4">
        <w:t>A1</w:t>
      </w:r>
      <w:r w:rsidRPr="009C67E4">
        <w:tab/>
        <w:t>Compliance rules for percentile standards</w:t>
      </w:r>
      <w:bookmarkEnd w:id="251"/>
      <w:bookmarkEnd w:id="252"/>
      <w:bookmarkEnd w:id="253"/>
      <w:bookmarkEnd w:id="254"/>
    </w:p>
    <w:p w14:paraId="041E334E" w14:textId="77777777" w:rsidR="003741ED" w:rsidRPr="00471CDB" w:rsidRDefault="003741ED" w:rsidP="002B1E0A">
      <w:r w:rsidRPr="00471CDB">
        <w:t>The purpose of a drinking-water monitoring programme is to get as accurate a picture of the water quality as possible over the period of time and geographical area of interest.</w:t>
      </w:r>
      <w:r>
        <w:t xml:space="preserve"> </w:t>
      </w:r>
      <w:r w:rsidRPr="00471CDB">
        <w:t>The reliability of the picture produced by the monitoring data is dependent on, amongst other things, the number of samples taken to construct it.</w:t>
      </w:r>
      <w:r>
        <w:t xml:space="preserve"> </w:t>
      </w:r>
      <w:r w:rsidRPr="00471CDB">
        <w:t>The larger the number of samples, the more reliable the conclusions reached about the water quality are likely to be.</w:t>
      </w:r>
      <w:r>
        <w:t xml:space="preserve"> </w:t>
      </w:r>
      <w:r w:rsidRPr="00471CDB">
        <w:t>Samples should be taken at random.</w:t>
      </w:r>
      <w:r>
        <w:t xml:space="preserve"> </w:t>
      </w:r>
      <w:r w:rsidRPr="00471CDB">
        <w:t>Systematic sampling can introduce bias into the results by failing to detect patterns occurring outside the sampling schedule.</w:t>
      </w:r>
      <w:r>
        <w:t xml:space="preserve"> </w:t>
      </w:r>
      <w:r w:rsidRPr="00471CDB">
        <w:t>Constraints on the resources available for monitoring programmes, however, limit the number of samples that can be collected.</w:t>
      </w:r>
      <w:r>
        <w:t xml:space="preserve"> </w:t>
      </w:r>
      <w:r w:rsidRPr="00471CDB">
        <w:t>It is therefore necessary to use statistical calculations to determine the number of samples that must be taken to provide the required level of confidence in the conclusions reached from the data.</w:t>
      </w:r>
    </w:p>
    <w:p w14:paraId="041E334F" w14:textId="77777777" w:rsidR="003741ED" w:rsidRPr="00471CDB" w:rsidRDefault="003741ED" w:rsidP="002B1E0A"/>
    <w:p w14:paraId="041E3350" w14:textId="77777777" w:rsidR="003741ED" w:rsidRPr="00471CDB" w:rsidRDefault="003741ED" w:rsidP="002B1E0A">
      <w:r w:rsidRPr="00471CDB">
        <w:t xml:space="preserve">The </w:t>
      </w:r>
      <w:r w:rsidRPr="00471CDB">
        <w:rPr>
          <w:i/>
        </w:rPr>
        <w:t xml:space="preserve">Drinking-water Standards for New Zealand </w:t>
      </w:r>
      <w:r>
        <w:rPr>
          <w:i/>
        </w:rPr>
        <w:t xml:space="preserve">(2005, revised </w:t>
      </w:r>
      <w:r w:rsidRPr="00471CDB">
        <w:rPr>
          <w:i/>
        </w:rPr>
        <w:t>200</w:t>
      </w:r>
      <w:r>
        <w:rPr>
          <w:i/>
        </w:rPr>
        <w:t>8, and revised 2018)</w:t>
      </w:r>
      <w:r w:rsidRPr="00471CDB">
        <w:t xml:space="preserve"> (DWSNZ) are designed to work to 95</w:t>
      </w:r>
      <w:r>
        <w:t> </w:t>
      </w:r>
      <w:r w:rsidRPr="00C1279C">
        <w:t>percentile standards</w:t>
      </w:r>
      <w:r>
        <w:t xml:space="preserve"> (as discussed in section</w:t>
      </w:r>
      <w:r w:rsidRPr="00471CDB">
        <w:t xml:space="preserve"> 6.2 of these Guidelines).</w:t>
      </w:r>
      <w:r>
        <w:t xml:space="preserve"> </w:t>
      </w:r>
      <w:r w:rsidRPr="00471CDB">
        <w:t>Hereafter we will discuss only the 95</w:t>
      </w:r>
      <w:r>
        <w:t>th percent</w:t>
      </w:r>
      <w:r w:rsidRPr="00471CDB">
        <w:t>ile case.</w:t>
      </w:r>
    </w:p>
    <w:p w14:paraId="041E3351" w14:textId="77777777" w:rsidR="003741ED" w:rsidRPr="00471CDB" w:rsidRDefault="003741ED" w:rsidP="002B1E0A"/>
    <w:p w14:paraId="041E3352" w14:textId="77777777" w:rsidR="003741ED" w:rsidRPr="00471CDB" w:rsidRDefault="003741ED" w:rsidP="002B1E0A">
      <w:r w:rsidRPr="00471CDB">
        <w:t xml:space="preserve">In other words, they aim to ensure that in a supply that complies with the </w:t>
      </w:r>
      <w:r w:rsidRPr="00471CDB">
        <w:rPr>
          <w:iCs/>
        </w:rPr>
        <w:t>DWSNZ</w:t>
      </w:r>
      <w:r w:rsidRPr="00471CDB">
        <w:t>, health-significant determinands are present at levels less than their MAVs for 95</w:t>
      </w:r>
      <w:r>
        <w:t> percent</w:t>
      </w:r>
      <w:r w:rsidRPr="00471CDB">
        <w:t xml:space="preserve"> or more of the time.</w:t>
      </w:r>
      <w:r>
        <w:t xml:space="preserve"> </w:t>
      </w:r>
      <w:r w:rsidRPr="00471CDB">
        <w:t>Note that this is 95</w:t>
      </w:r>
      <w:r>
        <w:t> percent</w:t>
      </w:r>
      <w:r w:rsidRPr="00471CDB">
        <w:t xml:space="preserve"> of the time, not 95</w:t>
      </w:r>
      <w:r>
        <w:t> percent</w:t>
      </w:r>
      <w:r w:rsidRPr="00471CDB">
        <w:t xml:space="preserve"> of the samples.</w:t>
      </w:r>
      <w:r>
        <w:t xml:space="preserve"> </w:t>
      </w:r>
      <w:r w:rsidRPr="00471CDB">
        <w:t>This is a deliberate choice.</w:t>
      </w:r>
      <w:r>
        <w:t xml:space="preserve"> </w:t>
      </w:r>
      <w:r w:rsidRPr="00471CDB">
        <w:t>Variability in such things as the quality of the water and false positive results mean that with the limited monitoring data available, there will be a degree of uncertainty as to the ability of a supply to meet the 95</w:t>
      </w:r>
      <w:r>
        <w:t>th</w:t>
      </w:r>
      <w:r w:rsidRPr="00471CDB">
        <w:t xml:space="preserve"> percentile requirement.</w:t>
      </w:r>
      <w:r>
        <w:t xml:space="preserve"> </w:t>
      </w:r>
      <w:r w:rsidRPr="00471CDB">
        <w:t xml:space="preserve">The </w:t>
      </w:r>
      <w:r w:rsidRPr="00471CDB">
        <w:rPr>
          <w:iCs/>
        </w:rPr>
        <w:t>DWSNZ</w:t>
      </w:r>
      <w:r w:rsidRPr="00471CDB">
        <w:t xml:space="preserve"> </w:t>
      </w:r>
      <w:r>
        <w:t>are</w:t>
      </w:r>
      <w:r w:rsidRPr="00471CDB">
        <w:t xml:space="preserve"> based on a 95</w:t>
      </w:r>
      <w:r>
        <w:t> percent</w:t>
      </w:r>
      <w:r w:rsidRPr="00471CDB">
        <w:t xml:space="preserve"> confidence that the 95</w:t>
      </w:r>
      <w:r>
        <w:t>th</w:t>
      </w:r>
      <w:r w:rsidRPr="00471CDB">
        <w:t xml:space="preserve"> percentile is being met.</w:t>
      </w:r>
      <w:r>
        <w:t xml:space="preserve"> </w:t>
      </w:r>
      <w:r w:rsidRPr="00471CDB">
        <w:t>From these two parameters, 95</w:t>
      </w:r>
      <w:r>
        <w:t> percent</w:t>
      </w:r>
      <w:r w:rsidRPr="00471CDB">
        <w:t xml:space="preserve"> confidence in acceptable water quality for 95</w:t>
      </w:r>
      <w:r>
        <w:t> percent</w:t>
      </w:r>
      <w:r w:rsidRPr="00471CDB">
        <w:t xml:space="preserve"> of the time, the number of monitoring samples required for demonstrating compliance can be calculated.</w:t>
      </w:r>
    </w:p>
    <w:p w14:paraId="041E3353" w14:textId="77777777" w:rsidR="003741ED" w:rsidRPr="00471CDB" w:rsidRDefault="003741ED" w:rsidP="002B1E0A"/>
    <w:p w14:paraId="041E3354" w14:textId="77777777" w:rsidR="003741ED" w:rsidRPr="00471CDB" w:rsidRDefault="003741ED" w:rsidP="002B1E0A">
      <w:r w:rsidRPr="00471CDB">
        <w:t xml:space="preserve">In the 1995 edition of the </w:t>
      </w:r>
      <w:r w:rsidRPr="00471CDB">
        <w:rPr>
          <w:iCs/>
        </w:rPr>
        <w:t>DWSNZ</w:t>
      </w:r>
      <w:r w:rsidRPr="00471CDB">
        <w:t xml:space="preserve"> these calculations were made using classical statistical methods.</w:t>
      </w:r>
      <w:r>
        <w:t xml:space="preserve"> </w:t>
      </w:r>
      <w:r w:rsidRPr="00471CDB">
        <w:t xml:space="preserve">In the </w:t>
      </w:r>
      <w:r w:rsidRPr="00471CDB">
        <w:rPr>
          <w:iCs/>
        </w:rPr>
        <w:t>DWSNZ 2000</w:t>
      </w:r>
      <w:r w:rsidRPr="00471CDB">
        <w:t xml:space="preserve"> and </w:t>
      </w:r>
      <w:r w:rsidRPr="00471CDB">
        <w:rPr>
          <w:iCs/>
        </w:rPr>
        <w:t>2005</w:t>
      </w:r>
      <w:r>
        <w:rPr>
          <w:iCs/>
        </w:rPr>
        <w:t>/2008</w:t>
      </w:r>
      <w:r w:rsidRPr="00471CDB">
        <w:t xml:space="preserve"> the classical basis has been replaced by the use of a Bayesian statistical method.</w:t>
      </w:r>
      <w:r>
        <w:t xml:space="preserve"> </w:t>
      </w:r>
      <w:r w:rsidRPr="00471CDB">
        <w:t>The main consequence of this change is that fewer samples need to be taken to demonstrate the same level of confidence in compliance than was the case when the classical calculations were used.</w:t>
      </w:r>
    </w:p>
    <w:p w14:paraId="041E3355" w14:textId="77777777" w:rsidR="003741ED" w:rsidRPr="00471CDB" w:rsidRDefault="003741ED" w:rsidP="002B1E0A"/>
    <w:p w14:paraId="041E3356" w14:textId="77777777" w:rsidR="003741ED" w:rsidRPr="00471CDB" w:rsidRDefault="003741ED" w:rsidP="002B1E0A">
      <w:pPr>
        <w:pStyle w:val="Heading3-appendix"/>
      </w:pPr>
      <w:bookmarkStart w:id="255" w:name="_Toc364704714"/>
      <w:bookmarkStart w:id="256" w:name="_Toc8978852"/>
      <w:r w:rsidRPr="00471CDB">
        <w:t>Classical evaluation of risks</w:t>
      </w:r>
      <w:bookmarkEnd w:id="255"/>
      <w:bookmarkEnd w:id="256"/>
    </w:p>
    <w:p w14:paraId="041E3357" w14:textId="77777777" w:rsidR="003741ED" w:rsidRPr="00471CDB" w:rsidRDefault="003741ED" w:rsidP="002B1E0A">
      <w:r w:rsidRPr="00471CDB">
        <w:t>When evaluating whether the value of a determinand is less than, or equal to, its MAV for 95</w:t>
      </w:r>
      <w:r>
        <w:t> percent</w:t>
      </w:r>
      <w:r w:rsidRPr="00471CDB">
        <w:t xml:space="preserve"> of the time in a classical framework, one of two types of error can be committed:</w:t>
      </w:r>
    </w:p>
    <w:p w14:paraId="041E3358" w14:textId="77777777" w:rsidR="003741ED" w:rsidRPr="00471CDB" w:rsidRDefault="003741ED" w:rsidP="002B1E0A">
      <w:pPr>
        <w:spacing w:before="90"/>
        <w:ind w:left="567" w:hanging="567"/>
      </w:pPr>
      <w:r>
        <w:t>1</w:t>
      </w:r>
      <w:r>
        <w:tab/>
      </w:r>
      <w:r w:rsidRPr="00471CDB">
        <w:t>from the number of transgressions it is incorrectly inferred that there was non-compliance.</w:t>
      </w:r>
      <w:r>
        <w:t xml:space="preserve"> </w:t>
      </w:r>
      <w:r w:rsidRPr="00471CDB">
        <w:t xml:space="preserve">The risk of this occurring is termed the </w:t>
      </w:r>
      <w:r>
        <w:t>‘</w:t>
      </w:r>
      <w:r w:rsidRPr="00471CDB">
        <w:t>supplier</w:t>
      </w:r>
      <w:r>
        <w:t>’</w:t>
      </w:r>
      <w:r w:rsidRPr="00471CDB">
        <w:t>s risk</w:t>
      </w:r>
      <w:r>
        <w:t>’</w:t>
      </w:r>
    </w:p>
    <w:p w14:paraId="041E3359" w14:textId="77777777" w:rsidR="003741ED" w:rsidRPr="00471CDB" w:rsidRDefault="003741ED" w:rsidP="002B1E0A">
      <w:pPr>
        <w:spacing w:before="90"/>
        <w:ind w:left="567" w:hanging="567"/>
      </w:pPr>
      <w:r>
        <w:t>2</w:t>
      </w:r>
      <w:r>
        <w:tab/>
      </w:r>
      <w:r w:rsidRPr="00471CDB">
        <w:t>from the number of transgressions it is incorrectly inferred that there was compliance.</w:t>
      </w:r>
      <w:r>
        <w:t xml:space="preserve"> </w:t>
      </w:r>
      <w:r w:rsidRPr="00471CDB">
        <w:t xml:space="preserve">The risk of this occurring is termed the </w:t>
      </w:r>
      <w:r>
        <w:t>‘</w:t>
      </w:r>
      <w:r w:rsidRPr="00471CDB">
        <w:t>consumer</w:t>
      </w:r>
      <w:r>
        <w:t>’</w:t>
      </w:r>
      <w:r w:rsidRPr="00471CDB">
        <w:t>s risk</w:t>
      </w:r>
      <w:r>
        <w:t>’</w:t>
      </w:r>
      <w:r w:rsidRPr="00471CDB">
        <w:t>.</w:t>
      </w:r>
    </w:p>
    <w:p w14:paraId="041E335A" w14:textId="77777777" w:rsidR="003741ED" w:rsidRPr="00471CDB" w:rsidRDefault="003741ED" w:rsidP="002B1E0A"/>
    <w:p w14:paraId="041E335B" w14:textId="77777777" w:rsidR="003741ED" w:rsidRPr="00471CDB" w:rsidRDefault="003741ED" w:rsidP="00BE671C">
      <w:pPr>
        <w:keepLines/>
      </w:pPr>
      <w:r w:rsidRPr="00471CDB">
        <w:t>To quantify these risks using classical statistical methods it is assumed that sampling is random in time.</w:t>
      </w:r>
      <w:r>
        <w:t xml:space="preserve"> </w:t>
      </w:r>
      <w:r w:rsidRPr="00471CDB">
        <w:t>To perform these calculations the probability of a single sample transgressing its MAV must be selected.</w:t>
      </w:r>
      <w:r>
        <w:t xml:space="preserve"> </w:t>
      </w:r>
      <w:r w:rsidRPr="00471CDB">
        <w:t xml:space="preserve">This is done by assuming that the water is borderline for compliance, </w:t>
      </w:r>
      <w:r>
        <w:t xml:space="preserve">ie, </w:t>
      </w:r>
      <w:r w:rsidRPr="00471CDB">
        <w:t>the probability of the sample exceeding its MAV is 5</w:t>
      </w:r>
      <w:r>
        <w:t> percent</w:t>
      </w:r>
      <w:r w:rsidRPr="00471CDB">
        <w:t xml:space="preserve"> (95</w:t>
      </w:r>
      <w:r>
        <w:t> percent</w:t>
      </w:r>
      <w:r w:rsidRPr="00471CDB">
        <w:t xml:space="preserve"> of the time the MAV is not exceeded implies that 5</w:t>
      </w:r>
      <w:r>
        <w:t> percent</w:t>
      </w:r>
      <w:r w:rsidRPr="00471CDB">
        <w:t xml:space="preserve"> of the time it is, if the situation is borderline).</w:t>
      </w:r>
      <w:r>
        <w:t xml:space="preserve"> </w:t>
      </w:r>
      <w:r w:rsidRPr="00471CDB">
        <w:t>This assumption of course makes for a very pessimistic approach.</w:t>
      </w:r>
    </w:p>
    <w:p w14:paraId="041E335C" w14:textId="77777777" w:rsidR="003741ED" w:rsidRPr="00471CDB" w:rsidRDefault="003741ED" w:rsidP="002B1E0A"/>
    <w:p w14:paraId="041E335D" w14:textId="77777777" w:rsidR="003741ED" w:rsidRDefault="003741ED" w:rsidP="002B1E0A">
      <w:r w:rsidRPr="003504DA">
        <w:t xml:space="preserve">The results obtained from the classical calculations are shown in Table </w:t>
      </w:r>
      <w:r>
        <w:t>A</w:t>
      </w:r>
      <w:r w:rsidRPr="003504DA">
        <w:t>1</w:t>
      </w:r>
      <w:r>
        <w:t>.1</w:t>
      </w:r>
      <w:r w:rsidRPr="003504DA">
        <w:t xml:space="preserve">. They are the basis </w:t>
      </w:r>
      <w:r w:rsidRPr="002B1E0A">
        <w:t>f</w:t>
      </w:r>
      <w:r w:rsidRPr="003504DA">
        <w:t>or the statements made in section 1.3 of the DWSNZ 1995, showing how the number of samples necessary to demonstrate compliance 95 percent of the time depends on the number of samples exceeding the MAV. To keep the consumer</w:t>
      </w:r>
      <w:r>
        <w:t>’</w:t>
      </w:r>
      <w:r w:rsidRPr="003504DA">
        <w:t>s risk to less than 5 percent therefore requires a minimum of 59</w:t>
      </w:r>
      <w:r>
        <w:t> </w:t>
      </w:r>
      <w:r w:rsidRPr="003504DA">
        <w:t>samples to be taken, none of which are permitted to transgress the MAV. If one of the monitoring samples transgresses its MAV, there must be at least another 92 that have not exceeded the MAV to be 95 percent confident that the supply is in compliance 95 percent of the time.</w:t>
      </w:r>
    </w:p>
    <w:p w14:paraId="041E335E" w14:textId="77777777" w:rsidR="002B1E0A" w:rsidRPr="003504DA" w:rsidRDefault="002B1E0A" w:rsidP="002B1E0A"/>
    <w:p w14:paraId="041E335F" w14:textId="77777777" w:rsidR="003741ED" w:rsidRPr="00A9688B" w:rsidRDefault="003741ED" w:rsidP="002B1E0A">
      <w:pPr>
        <w:pStyle w:val="Table-appendix"/>
      </w:pPr>
      <w:bookmarkStart w:id="257" w:name="_Toc350763014"/>
      <w:bookmarkStart w:id="258" w:name="_Toc364675997"/>
      <w:bookmarkStart w:id="259" w:name="_Toc8978900"/>
      <w:bookmarkStart w:id="260" w:name="_Toc8979359"/>
      <w:r w:rsidRPr="00A9688B">
        <w:t xml:space="preserve">Table </w:t>
      </w:r>
      <w:r>
        <w:t>A1.</w:t>
      </w:r>
      <w:r w:rsidRPr="00A9688B">
        <w:t>1: Numbers of samples and allowable transgressions needed to keep maximum risks below 5</w:t>
      </w:r>
      <w:r>
        <w:t> percent</w:t>
      </w:r>
      <w:r w:rsidRPr="00A9688B">
        <w:t xml:space="preserve"> when assessing compliance with a 95</w:t>
      </w:r>
      <w:r>
        <w:t>th percent</w:t>
      </w:r>
      <w:r w:rsidRPr="00A9688B">
        <w:t>ile standard</w:t>
      </w:r>
      <w:bookmarkEnd w:id="257"/>
      <w:bookmarkEnd w:id="258"/>
      <w:bookmarkEnd w:id="259"/>
      <w:bookmarkEnd w:id="260"/>
    </w:p>
    <w:tbl>
      <w:tblPr>
        <w:tblW w:w="8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6"/>
        <w:gridCol w:w="1701"/>
        <w:gridCol w:w="1701"/>
        <w:gridCol w:w="1701"/>
        <w:gridCol w:w="1701"/>
      </w:tblGrid>
      <w:tr w:rsidR="003741ED" w:rsidRPr="002B1E0A" w14:paraId="041E3363" w14:textId="77777777" w:rsidTr="002B1E0A">
        <w:trPr>
          <w:cantSplit/>
        </w:trPr>
        <w:tc>
          <w:tcPr>
            <w:tcW w:w="1276" w:type="dxa"/>
            <w:vMerge w:val="restart"/>
            <w:tcBorders>
              <w:top w:val="nil"/>
              <w:left w:val="nil"/>
              <w:bottom w:val="nil"/>
              <w:right w:val="nil"/>
            </w:tcBorders>
            <w:shd w:val="clear" w:color="auto" w:fill="D9D9D9" w:themeFill="background1" w:themeFillShade="D9"/>
          </w:tcPr>
          <w:p w14:paraId="041E3360" w14:textId="77777777" w:rsidR="003741ED" w:rsidRPr="002B1E0A" w:rsidRDefault="003741ED" w:rsidP="002B1E0A">
            <w:pPr>
              <w:pStyle w:val="TableText"/>
              <w:jc w:val="center"/>
              <w:rPr>
                <w:b/>
              </w:rPr>
            </w:pPr>
            <w:r w:rsidRPr="002B1E0A">
              <w:rPr>
                <w:b/>
              </w:rPr>
              <w:t>Number of allowable transgressions</w:t>
            </w:r>
          </w:p>
        </w:tc>
        <w:tc>
          <w:tcPr>
            <w:tcW w:w="3402" w:type="dxa"/>
            <w:gridSpan w:val="2"/>
            <w:tcBorders>
              <w:top w:val="nil"/>
              <w:left w:val="nil"/>
              <w:bottom w:val="nil"/>
              <w:right w:val="nil"/>
            </w:tcBorders>
            <w:shd w:val="clear" w:color="auto" w:fill="D9D9D9" w:themeFill="background1" w:themeFillShade="D9"/>
          </w:tcPr>
          <w:p w14:paraId="041E3361" w14:textId="77777777" w:rsidR="003741ED" w:rsidRPr="002B1E0A" w:rsidRDefault="003741ED" w:rsidP="002B1E0A">
            <w:pPr>
              <w:pStyle w:val="TableText"/>
              <w:spacing w:after="0"/>
              <w:jc w:val="center"/>
              <w:rPr>
                <w:b/>
              </w:rPr>
            </w:pPr>
            <w:r w:rsidRPr="002B1E0A">
              <w:rPr>
                <w:b/>
              </w:rPr>
              <w:t>Number of samples required to keep the maximum consumer’s risk below 5% using the following methods</w:t>
            </w:r>
          </w:p>
        </w:tc>
        <w:tc>
          <w:tcPr>
            <w:tcW w:w="3402" w:type="dxa"/>
            <w:gridSpan w:val="2"/>
            <w:tcBorders>
              <w:top w:val="nil"/>
              <w:left w:val="nil"/>
              <w:bottom w:val="nil"/>
              <w:right w:val="nil"/>
            </w:tcBorders>
            <w:shd w:val="clear" w:color="auto" w:fill="D9D9D9" w:themeFill="background1" w:themeFillShade="D9"/>
          </w:tcPr>
          <w:p w14:paraId="041E3362" w14:textId="77777777" w:rsidR="003741ED" w:rsidRPr="002B1E0A" w:rsidRDefault="003741ED" w:rsidP="002B1E0A">
            <w:pPr>
              <w:pStyle w:val="TableText"/>
              <w:spacing w:after="0"/>
              <w:jc w:val="center"/>
              <w:rPr>
                <w:b/>
              </w:rPr>
            </w:pPr>
            <w:r w:rsidRPr="002B1E0A">
              <w:rPr>
                <w:b/>
              </w:rPr>
              <w:t>Number of samples required to keep the maximum supplier’s risk below 5% using the following methods</w:t>
            </w:r>
          </w:p>
        </w:tc>
      </w:tr>
      <w:tr w:rsidR="003741ED" w:rsidRPr="002B1E0A" w14:paraId="041E3369" w14:textId="77777777" w:rsidTr="002B1E0A">
        <w:trPr>
          <w:cantSplit/>
        </w:trPr>
        <w:tc>
          <w:tcPr>
            <w:tcW w:w="1276" w:type="dxa"/>
            <w:vMerge/>
            <w:tcBorders>
              <w:top w:val="nil"/>
              <w:left w:val="nil"/>
              <w:bottom w:val="nil"/>
              <w:right w:val="nil"/>
            </w:tcBorders>
            <w:shd w:val="clear" w:color="auto" w:fill="D9D9D9" w:themeFill="background1" w:themeFillShade="D9"/>
          </w:tcPr>
          <w:p w14:paraId="041E3364" w14:textId="77777777" w:rsidR="003741ED" w:rsidRPr="002B1E0A" w:rsidRDefault="003741ED" w:rsidP="002B1E0A">
            <w:pPr>
              <w:pStyle w:val="TableText"/>
              <w:rPr>
                <w:b/>
              </w:rPr>
            </w:pPr>
          </w:p>
        </w:tc>
        <w:tc>
          <w:tcPr>
            <w:tcW w:w="1701" w:type="dxa"/>
            <w:tcBorders>
              <w:top w:val="nil"/>
              <w:left w:val="nil"/>
              <w:bottom w:val="nil"/>
              <w:right w:val="nil"/>
            </w:tcBorders>
            <w:shd w:val="clear" w:color="auto" w:fill="D9D9D9" w:themeFill="background1" w:themeFillShade="D9"/>
          </w:tcPr>
          <w:p w14:paraId="041E3365" w14:textId="77777777" w:rsidR="003741ED" w:rsidRPr="002B1E0A" w:rsidRDefault="003741ED" w:rsidP="002B1E0A">
            <w:pPr>
              <w:pStyle w:val="TableText"/>
              <w:jc w:val="center"/>
              <w:rPr>
                <w:b/>
              </w:rPr>
            </w:pPr>
            <w:r w:rsidRPr="002B1E0A">
              <w:rPr>
                <w:b/>
              </w:rPr>
              <w:t>Classical</w:t>
            </w:r>
          </w:p>
        </w:tc>
        <w:tc>
          <w:tcPr>
            <w:tcW w:w="1701" w:type="dxa"/>
            <w:tcBorders>
              <w:top w:val="nil"/>
              <w:left w:val="nil"/>
              <w:bottom w:val="nil"/>
              <w:right w:val="nil"/>
            </w:tcBorders>
            <w:shd w:val="clear" w:color="auto" w:fill="D9D9D9" w:themeFill="background1" w:themeFillShade="D9"/>
          </w:tcPr>
          <w:p w14:paraId="041E3366" w14:textId="77777777" w:rsidR="003741ED" w:rsidRPr="002B1E0A" w:rsidRDefault="003741ED" w:rsidP="002B1E0A">
            <w:pPr>
              <w:pStyle w:val="TableText"/>
              <w:jc w:val="center"/>
              <w:rPr>
                <w:b/>
                <w:vertAlign w:val="superscript"/>
              </w:rPr>
            </w:pPr>
            <w:r w:rsidRPr="002B1E0A">
              <w:rPr>
                <w:b/>
              </w:rPr>
              <w:t>Bayesian*</w:t>
            </w:r>
          </w:p>
        </w:tc>
        <w:tc>
          <w:tcPr>
            <w:tcW w:w="1701" w:type="dxa"/>
            <w:tcBorders>
              <w:top w:val="nil"/>
              <w:left w:val="nil"/>
              <w:bottom w:val="nil"/>
              <w:right w:val="nil"/>
            </w:tcBorders>
            <w:shd w:val="clear" w:color="auto" w:fill="D9D9D9" w:themeFill="background1" w:themeFillShade="D9"/>
          </w:tcPr>
          <w:p w14:paraId="041E3367" w14:textId="77777777" w:rsidR="003741ED" w:rsidRPr="002B1E0A" w:rsidRDefault="003741ED" w:rsidP="002B1E0A">
            <w:pPr>
              <w:pStyle w:val="TableText"/>
              <w:jc w:val="center"/>
              <w:rPr>
                <w:b/>
              </w:rPr>
            </w:pPr>
            <w:r w:rsidRPr="002B1E0A">
              <w:rPr>
                <w:b/>
              </w:rPr>
              <w:t>Classical</w:t>
            </w:r>
          </w:p>
        </w:tc>
        <w:tc>
          <w:tcPr>
            <w:tcW w:w="1701" w:type="dxa"/>
            <w:tcBorders>
              <w:top w:val="nil"/>
              <w:left w:val="nil"/>
              <w:bottom w:val="nil"/>
              <w:right w:val="nil"/>
            </w:tcBorders>
            <w:shd w:val="clear" w:color="auto" w:fill="D9D9D9" w:themeFill="background1" w:themeFillShade="D9"/>
          </w:tcPr>
          <w:p w14:paraId="041E3368" w14:textId="77777777" w:rsidR="003741ED" w:rsidRPr="002B1E0A" w:rsidRDefault="003741ED" w:rsidP="002B1E0A">
            <w:pPr>
              <w:pStyle w:val="TableText"/>
              <w:jc w:val="center"/>
              <w:rPr>
                <w:b/>
              </w:rPr>
            </w:pPr>
            <w:r w:rsidRPr="002B1E0A">
              <w:rPr>
                <w:b/>
              </w:rPr>
              <w:t>Bayesian*</w:t>
            </w:r>
          </w:p>
        </w:tc>
      </w:tr>
      <w:tr w:rsidR="003741ED" w:rsidRPr="00471CDB" w14:paraId="041E336F" w14:textId="77777777" w:rsidTr="002B1E0A">
        <w:trPr>
          <w:cantSplit/>
        </w:trPr>
        <w:tc>
          <w:tcPr>
            <w:tcW w:w="1276" w:type="dxa"/>
            <w:tcBorders>
              <w:top w:val="nil"/>
              <w:left w:val="nil"/>
              <w:bottom w:val="single" w:sz="4" w:space="0" w:color="A6A6A6" w:themeColor="background1" w:themeShade="A6"/>
              <w:right w:val="nil"/>
            </w:tcBorders>
            <w:shd w:val="clear" w:color="auto" w:fill="auto"/>
          </w:tcPr>
          <w:p w14:paraId="041E336A" w14:textId="77777777" w:rsidR="003741ED" w:rsidRPr="00471CDB" w:rsidRDefault="003741ED" w:rsidP="002B1E0A">
            <w:pPr>
              <w:pStyle w:val="TableText"/>
              <w:jc w:val="center"/>
            </w:pPr>
            <w:r w:rsidRPr="00471CDB">
              <w:t>0</w:t>
            </w:r>
          </w:p>
        </w:tc>
        <w:tc>
          <w:tcPr>
            <w:tcW w:w="1701" w:type="dxa"/>
            <w:tcBorders>
              <w:top w:val="nil"/>
              <w:left w:val="nil"/>
              <w:bottom w:val="single" w:sz="4" w:space="0" w:color="A6A6A6" w:themeColor="background1" w:themeShade="A6"/>
              <w:right w:val="nil"/>
            </w:tcBorders>
            <w:shd w:val="clear" w:color="auto" w:fill="auto"/>
          </w:tcPr>
          <w:p w14:paraId="041E336B" w14:textId="77777777" w:rsidR="003741ED" w:rsidRPr="00471CDB" w:rsidRDefault="003741ED" w:rsidP="002B1E0A">
            <w:pPr>
              <w:pStyle w:val="TableText"/>
              <w:jc w:val="center"/>
              <w:rPr>
                <w:vertAlign w:val="superscript"/>
              </w:rPr>
            </w:pPr>
            <w:r w:rsidRPr="00471CDB">
              <w:t>59</w:t>
            </w:r>
            <w:r>
              <w:t>–</w:t>
            </w:r>
            <w:r w:rsidRPr="00471CDB">
              <w:t>92</w:t>
            </w:r>
            <w:r w:rsidRPr="00471CDB">
              <w:rPr>
                <w:vertAlign w:val="superscript"/>
              </w:rPr>
              <w:t>#</w:t>
            </w:r>
          </w:p>
        </w:tc>
        <w:tc>
          <w:tcPr>
            <w:tcW w:w="1701" w:type="dxa"/>
            <w:tcBorders>
              <w:top w:val="nil"/>
              <w:left w:val="nil"/>
              <w:bottom w:val="single" w:sz="4" w:space="0" w:color="A6A6A6" w:themeColor="background1" w:themeShade="A6"/>
              <w:right w:val="nil"/>
            </w:tcBorders>
            <w:shd w:val="clear" w:color="auto" w:fill="auto"/>
          </w:tcPr>
          <w:p w14:paraId="041E336C" w14:textId="77777777" w:rsidR="003741ED" w:rsidRPr="00471CDB" w:rsidRDefault="003741ED" w:rsidP="002B1E0A">
            <w:pPr>
              <w:pStyle w:val="TableText"/>
              <w:jc w:val="center"/>
            </w:pPr>
            <w:r w:rsidRPr="00471CDB">
              <w:t>38</w:t>
            </w:r>
            <w:r>
              <w:t>–</w:t>
            </w:r>
            <w:r w:rsidRPr="00471CDB">
              <w:t>76</w:t>
            </w:r>
            <w:r w:rsidRPr="00B27373">
              <w:rPr>
                <w:vertAlign w:val="superscript"/>
              </w:rPr>
              <w:t>#</w:t>
            </w:r>
          </w:p>
        </w:tc>
        <w:tc>
          <w:tcPr>
            <w:tcW w:w="1701" w:type="dxa"/>
            <w:tcBorders>
              <w:top w:val="nil"/>
              <w:left w:val="nil"/>
              <w:bottom w:val="single" w:sz="4" w:space="0" w:color="A6A6A6" w:themeColor="background1" w:themeShade="A6"/>
              <w:right w:val="nil"/>
            </w:tcBorders>
            <w:shd w:val="clear" w:color="auto" w:fill="auto"/>
          </w:tcPr>
          <w:p w14:paraId="041E336D" w14:textId="77777777" w:rsidR="003741ED" w:rsidRPr="00471CDB" w:rsidRDefault="003741ED" w:rsidP="002B1E0A">
            <w:pPr>
              <w:pStyle w:val="TableText"/>
              <w:jc w:val="center"/>
            </w:pPr>
            <w:r w:rsidRPr="00471CDB">
              <w:t>1</w:t>
            </w:r>
            <w:r w:rsidRPr="00471CDB">
              <w:rPr>
                <w:vertAlign w:val="superscript"/>
              </w:rPr>
              <w:t>†</w:t>
            </w:r>
          </w:p>
        </w:tc>
        <w:tc>
          <w:tcPr>
            <w:tcW w:w="1701" w:type="dxa"/>
            <w:tcBorders>
              <w:top w:val="nil"/>
              <w:left w:val="nil"/>
              <w:bottom w:val="single" w:sz="4" w:space="0" w:color="A6A6A6" w:themeColor="background1" w:themeShade="A6"/>
              <w:right w:val="nil"/>
            </w:tcBorders>
            <w:shd w:val="clear" w:color="auto" w:fill="auto"/>
          </w:tcPr>
          <w:p w14:paraId="041E336E" w14:textId="77777777" w:rsidR="003741ED" w:rsidRPr="00471CDB" w:rsidRDefault="003741ED" w:rsidP="002B1E0A">
            <w:pPr>
              <w:pStyle w:val="TableText"/>
              <w:jc w:val="center"/>
            </w:pPr>
            <w:r w:rsidRPr="00471CDB">
              <w:rPr>
                <w:vertAlign w:val="superscript"/>
              </w:rPr>
              <w:t>‡</w:t>
            </w:r>
          </w:p>
        </w:tc>
      </w:tr>
      <w:tr w:rsidR="003741ED" w:rsidRPr="00471CDB" w14:paraId="041E3375" w14:textId="77777777" w:rsidTr="002B1E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0" w14:textId="77777777" w:rsidR="003741ED" w:rsidRPr="00471CDB" w:rsidRDefault="003741ED" w:rsidP="002B1E0A">
            <w:pPr>
              <w:pStyle w:val="TableText"/>
              <w:jc w:val="center"/>
            </w:pPr>
            <w:r w:rsidRPr="00471CDB">
              <w:t>1</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1" w14:textId="77777777" w:rsidR="003741ED" w:rsidRPr="00471CDB" w:rsidRDefault="003741ED" w:rsidP="002B1E0A">
            <w:pPr>
              <w:pStyle w:val="TableText"/>
              <w:jc w:val="center"/>
            </w:pPr>
            <w:r w:rsidRPr="00471CDB">
              <w:t>93</w:t>
            </w:r>
            <w:r>
              <w:t>–</w:t>
            </w:r>
            <w:r w:rsidRPr="00471CDB">
              <w:t>123</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2" w14:textId="77777777" w:rsidR="003741ED" w:rsidRPr="00471CDB" w:rsidRDefault="003741ED" w:rsidP="002B1E0A">
            <w:pPr>
              <w:pStyle w:val="TableText"/>
              <w:jc w:val="center"/>
            </w:pPr>
            <w:r w:rsidRPr="00471CDB">
              <w:t>77</w:t>
            </w:r>
            <w:r>
              <w:t>–</w:t>
            </w:r>
            <w:r w:rsidRPr="00471CDB">
              <w:t>108</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3" w14:textId="77777777" w:rsidR="003741ED" w:rsidRPr="00471CDB" w:rsidRDefault="003741ED" w:rsidP="002B1E0A">
            <w:pPr>
              <w:pStyle w:val="TableText"/>
              <w:jc w:val="center"/>
            </w:pPr>
            <w:r w:rsidRPr="00471CDB">
              <w:t>2</w:t>
            </w:r>
            <w:r>
              <w:t>–</w:t>
            </w:r>
            <w:r w:rsidRPr="00471CDB">
              <w:t>7</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4" w14:textId="77777777" w:rsidR="003741ED" w:rsidRPr="00471CDB" w:rsidRDefault="003741ED" w:rsidP="002B1E0A">
            <w:pPr>
              <w:pStyle w:val="TableText"/>
              <w:jc w:val="center"/>
            </w:pPr>
            <w:r w:rsidRPr="00471CDB">
              <w:t>1</w:t>
            </w:r>
            <w:r>
              <w:t>–</w:t>
            </w:r>
            <w:r w:rsidRPr="00471CDB">
              <w:t>3</w:t>
            </w:r>
          </w:p>
        </w:tc>
      </w:tr>
      <w:tr w:rsidR="003741ED" w:rsidRPr="00471CDB" w14:paraId="041E337B" w14:textId="77777777" w:rsidTr="002B1E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6" w14:textId="77777777" w:rsidR="003741ED" w:rsidRPr="00471CDB" w:rsidRDefault="003741ED" w:rsidP="002B1E0A">
            <w:pPr>
              <w:pStyle w:val="TableText"/>
              <w:jc w:val="center"/>
            </w:pPr>
            <w:r w:rsidRPr="00471CDB">
              <w:t>2</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7" w14:textId="77777777" w:rsidR="003741ED" w:rsidRPr="00471CDB" w:rsidRDefault="003741ED" w:rsidP="002B1E0A">
            <w:pPr>
              <w:pStyle w:val="TableText"/>
              <w:jc w:val="center"/>
            </w:pPr>
            <w:r w:rsidRPr="00471CDB">
              <w:t>124</w:t>
            </w:r>
            <w:r>
              <w:t>–</w:t>
            </w:r>
            <w:r w:rsidRPr="00471CDB">
              <w:t>152</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8" w14:textId="77777777" w:rsidR="003741ED" w:rsidRPr="00471CDB" w:rsidRDefault="003741ED" w:rsidP="002B1E0A">
            <w:pPr>
              <w:pStyle w:val="TableText"/>
              <w:jc w:val="center"/>
            </w:pPr>
            <w:r w:rsidRPr="00471CDB">
              <w:t>109</w:t>
            </w:r>
            <w:r>
              <w:t>–</w:t>
            </w:r>
            <w:r w:rsidRPr="00471CDB">
              <w:t>138</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9" w14:textId="77777777" w:rsidR="003741ED" w:rsidRPr="00471CDB" w:rsidRDefault="003741ED" w:rsidP="002B1E0A">
            <w:pPr>
              <w:pStyle w:val="TableText"/>
              <w:jc w:val="center"/>
            </w:pPr>
            <w:r w:rsidRPr="00471CDB">
              <w:t>8</w:t>
            </w:r>
            <w:r>
              <w:t>–</w:t>
            </w:r>
            <w:r w:rsidRPr="00471CDB">
              <w:t>16</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A" w14:textId="77777777" w:rsidR="003741ED" w:rsidRPr="00471CDB" w:rsidRDefault="003741ED" w:rsidP="002B1E0A">
            <w:pPr>
              <w:pStyle w:val="TableText"/>
              <w:jc w:val="center"/>
            </w:pPr>
            <w:r w:rsidRPr="00471CDB">
              <w:t>4</w:t>
            </w:r>
            <w:r>
              <w:t>–</w:t>
            </w:r>
            <w:r w:rsidRPr="00471CDB">
              <w:t>11</w:t>
            </w:r>
          </w:p>
        </w:tc>
      </w:tr>
      <w:tr w:rsidR="003741ED" w:rsidRPr="00471CDB" w14:paraId="041E3381" w14:textId="77777777" w:rsidTr="002B1E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C" w14:textId="77777777" w:rsidR="003741ED" w:rsidRPr="00471CDB" w:rsidRDefault="003741ED" w:rsidP="002B1E0A">
            <w:pPr>
              <w:pStyle w:val="TableText"/>
              <w:jc w:val="center"/>
            </w:pPr>
            <w:r w:rsidRPr="00471CDB">
              <w:t>3</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D" w14:textId="77777777" w:rsidR="003741ED" w:rsidRPr="00471CDB" w:rsidRDefault="003741ED" w:rsidP="002B1E0A">
            <w:pPr>
              <w:pStyle w:val="TableText"/>
              <w:jc w:val="center"/>
            </w:pPr>
            <w:r w:rsidRPr="00471CDB">
              <w:t>153</w:t>
            </w:r>
            <w:r>
              <w:t>–</w:t>
            </w:r>
            <w:r w:rsidRPr="00471CDB">
              <w:t>180</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E" w14:textId="77777777" w:rsidR="003741ED" w:rsidRPr="00471CDB" w:rsidRDefault="003741ED" w:rsidP="002B1E0A">
            <w:pPr>
              <w:pStyle w:val="TableText"/>
              <w:jc w:val="center"/>
            </w:pPr>
            <w:r w:rsidRPr="00471CDB">
              <w:t>139</w:t>
            </w:r>
            <w:r>
              <w:t>–</w:t>
            </w:r>
            <w:r w:rsidRPr="00471CDB">
              <w:t>166</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7F" w14:textId="77777777" w:rsidR="003741ED" w:rsidRPr="00471CDB" w:rsidRDefault="003741ED" w:rsidP="002B1E0A">
            <w:pPr>
              <w:pStyle w:val="TableText"/>
              <w:jc w:val="center"/>
            </w:pPr>
            <w:r w:rsidRPr="00471CDB">
              <w:t>17</w:t>
            </w:r>
            <w:r>
              <w:t>–</w:t>
            </w:r>
            <w:r w:rsidRPr="00471CDB">
              <w:t>28</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0" w14:textId="77777777" w:rsidR="003741ED" w:rsidRPr="00471CDB" w:rsidRDefault="003741ED" w:rsidP="002B1E0A">
            <w:pPr>
              <w:pStyle w:val="TableText"/>
              <w:jc w:val="center"/>
            </w:pPr>
            <w:r w:rsidRPr="00471CDB">
              <w:t>12</w:t>
            </w:r>
            <w:r>
              <w:t>–</w:t>
            </w:r>
            <w:r w:rsidRPr="00471CDB">
              <w:t>22</w:t>
            </w:r>
          </w:p>
        </w:tc>
      </w:tr>
      <w:tr w:rsidR="003741ED" w:rsidRPr="00471CDB" w14:paraId="041E3387" w14:textId="77777777" w:rsidTr="002B1E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2" w14:textId="77777777" w:rsidR="003741ED" w:rsidRPr="00471CDB" w:rsidRDefault="003741ED" w:rsidP="002B1E0A">
            <w:pPr>
              <w:pStyle w:val="TableText"/>
              <w:jc w:val="center"/>
            </w:pPr>
            <w:r w:rsidRPr="00471CDB">
              <w:t>4</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3" w14:textId="77777777" w:rsidR="003741ED" w:rsidRPr="00471CDB" w:rsidRDefault="003741ED" w:rsidP="002B1E0A">
            <w:pPr>
              <w:pStyle w:val="TableText"/>
              <w:jc w:val="center"/>
            </w:pPr>
            <w:r w:rsidRPr="00471CDB">
              <w:t>181</w:t>
            </w:r>
            <w:r>
              <w:t>–</w:t>
            </w:r>
            <w:r w:rsidRPr="00471CDB">
              <w:t>207</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4" w14:textId="77777777" w:rsidR="003741ED" w:rsidRPr="00471CDB" w:rsidRDefault="003741ED" w:rsidP="002B1E0A">
            <w:pPr>
              <w:pStyle w:val="TableText"/>
              <w:jc w:val="center"/>
            </w:pPr>
            <w:r w:rsidRPr="00471CDB">
              <w:t>167</w:t>
            </w:r>
            <w:r>
              <w:t>–</w:t>
            </w:r>
            <w:r w:rsidRPr="00471CDB">
              <w:t>193</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5" w14:textId="77777777" w:rsidR="003741ED" w:rsidRPr="00471CDB" w:rsidRDefault="003741ED" w:rsidP="002B1E0A">
            <w:pPr>
              <w:pStyle w:val="TableText"/>
              <w:jc w:val="center"/>
            </w:pPr>
            <w:r w:rsidRPr="00471CDB">
              <w:t>29</w:t>
            </w:r>
            <w:r>
              <w:t>–</w:t>
            </w:r>
            <w:r w:rsidRPr="00471CDB">
              <w:t>40</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6" w14:textId="77777777" w:rsidR="003741ED" w:rsidRPr="00471CDB" w:rsidRDefault="003741ED" w:rsidP="002B1E0A">
            <w:pPr>
              <w:pStyle w:val="TableText"/>
              <w:jc w:val="center"/>
            </w:pPr>
            <w:r w:rsidRPr="00471CDB">
              <w:t>23</w:t>
            </w:r>
            <w:r>
              <w:t>–</w:t>
            </w:r>
            <w:r w:rsidRPr="00471CDB">
              <w:t>34</w:t>
            </w:r>
          </w:p>
        </w:tc>
      </w:tr>
      <w:tr w:rsidR="003741ED" w:rsidRPr="00471CDB" w14:paraId="041E338D" w14:textId="77777777" w:rsidTr="002B1E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8" w14:textId="77777777" w:rsidR="003741ED" w:rsidRPr="00471CDB" w:rsidRDefault="003741ED" w:rsidP="002B1E0A">
            <w:pPr>
              <w:pStyle w:val="TableText"/>
              <w:jc w:val="center"/>
            </w:pPr>
            <w:r w:rsidRPr="00471CDB">
              <w:t>5</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9" w14:textId="77777777" w:rsidR="003741ED" w:rsidRPr="00471CDB" w:rsidRDefault="003741ED" w:rsidP="002B1E0A">
            <w:pPr>
              <w:pStyle w:val="TableText"/>
              <w:jc w:val="center"/>
            </w:pPr>
            <w:r w:rsidRPr="00471CDB">
              <w:t>208</w:t>
            </w:r>
            <w:r>
              <w:t>–</w:t>
            </w:r>
            <w:r w:rsidRPr="00471CDB">
              <w:t>233</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A" w14:textId="77777777" w:rsidR="003741ED" w:rsidRPr="00471CDB" w:rsidRDefault="003741ED" w:rsidP="002B1E0A">
            <w:pPr>
              <w:pStyle w:val="TableText"/>
              <w:jc w:val="center"/>
            </w:pPr>
            <w:r w:rsidRPr="00471CDB">
              <w:t>194</w:t>
            </w:r>
            <w:r>
              <w:t>–</w:t>
            </w:r>
            <w:r w:rsidRPr="00471CDB">
              <w:t>220</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B" w14:textId="77777777" w:rsidR="003741ED" w:rsidRPr="00471CDB" w:rsidRDefault="003741ED" w:rsidP="002B1E0A">
            <w:pPr>
              <w:pStyle w:val="TableText"/>
              <w:jc w:val="center"/>
            </w:pPr>
            <w:r w:rsidRPr="00471CDB">
              <w:t>41</w:t>
            </w:r>
            <w:r>
              <w:t>–</w:t>
            </w:r>
            <w:r w:rsidRPr="00471CDB">
              <w:t>53</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C" w14:textId="77777777" w:rsidR="003741ED" w:rsidRPr="00471CDB" w:rsidRDefault="003741ED" w:rsidP="002B1E0A">
            <w:pPr>
              <w:pStyle w:val="TableText"/>
              <w:jc w:val="center"/>
            </w:pPr>
            <w:r w:rsidRPr="00471CDB">
              <w:t>35</w:t>
            </w:r>
            <w:r>
              <w:t>–</w:t>
            </w:r>
            <w:r w:rsidRPr="00471CDB">
              <w:t>46</w:t>
            </w:r>
          </w:p>
        </w:tc>
      </w:tr>
      <w:tr w:rsidR="003741ED" w:rsidRPr="00471CDB" w14:paraId="041E3393" w14:textId="77777777" w:rsidTr="002B1E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E" w14:textId="77777777" w:rsidR="003741ED" w:rsidRPr="00471CDB" w:rsidRDefault="003741ED" w:rsidP="002B1E0A">
            <w:pPr>
              <w:pStyle w:val="TableText"/>
              <w:jc w:val="center"/>
            </w:pPr>
            <w:r w:rsidRPr="00471CDB">
              <w:t>6</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8F" w14:textId="77777777" w:rsidR="003741ED" w:rsidRPr="00471CDB" w:rsidRDefault="003741ED" w:rsidP="002B1E0A">
            <w:pPr>
              <w:pStyle w:val="TableText"/>
              <w:jc w:val="center"/>
            </w:pPr>
            <w:r w:rsidRPr="00471CDB">
              <w:t>234</w:t>
            </w:r>
            <w:r>
              <w:t>–</w:t>
            </w:r>
            <w:r w:rsidRPr="00471CDB">
              <w:t>259</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0" w14:textId="77777777" w:rsidR="003741ED" w:rsidRPr="00471CDB" w:rsidRDefault="003741ED" w:rsidP="002B1E0A">
            <w:pPr>
              <w:pStyle w:val="TableText"/>
              <w:jc w:val="center"/>
            </w:pPr>
            <w:r w:rsidRPr="00471CDB">
              <w:t>221</w:t>
            </w:r>
            <w:r>
              <w:t>–</w:t>
            </w:r>
            <w:r w:rsidRPr="00471CDB">
              <w:t>246</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1" w14:textId="77777777" w:rsidR="003741ED" w:rsidRPr="00471CDB" w:rsidRDefault="003741ED" w:rsidP="002B1E0A">
            <w:pPr>
              <w:pStyle w:val="TableText"/>
              <w:jc w:val="center"/>
            </w:pPr>
            <w:r w:rsidRPr="00471CDB">
              <w:t>54</w:t>
            </w:r>
            <w:r>
              <w:t>–</w:t>
            </w:r>
            <w:r w:rsidRPr="00471CDB">
              <w:t>67</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2" w14:textId="77777777" w:rsidR="003741ED" w:rsidRPr="00471CDB" w:rsidRDefault="003741ED" w:rsidP="002B1E0A">
            <w:pPr>
              <w:pStyle w:val="TableText"/>
              <w:jc w:val="center"/>
            </w:pPr>
            <w:r w:rsidRPr="00471CDB">
              <w:t>47</w:t>
            </w:r>
            <w:r>
              <w:t>–</w:t>
            </w:r>
            <w:r w:rsidRPr="00471CDB">
              <w:t>60</w:t>
            </w:r>
          </w:p>
        </w:tc>
      </w:tr>
      <w:tr w:rsidR="003741ED" w:rsidRPr="00471CDB" w14:paraId="041E3399" w14:textId="77777777" w:rsidTr="002B1E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4" w14:textId="77777777" w:rsidR="003741ED" w:rsidRPr="00471CDB" w:rsidRDefault="003741ED" w:rsidP="002B1E0A">
            <w:pPr>
              <w:pStyle w:val="TableText"/>
              <w:jc w:val="center"/>
            </w:pPr>
            <w:r w:rsidRPr="00471CDB">
              <w:t>7</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5" w14:textId="77777777" w:rsidR="003741ED" w:rsidRPr="00471CDB" w:rsidRDefault="003741ED" w:rsidP="002B1E0A">
            <w:pPr>
              <w:pStyle w:val="TableText"/>
              <w:jc w:val="center"/>
            </w:pPr>
            <w:r w:rsidRPr="00471CDB">
              <w:t>260</w:t>
            </w:r>
            <w:r>
              <w:t>–</w:t>
            </w:r>
            <w:r w:rsidRPr="00471CDB">
              <w:t>285</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6" w14:textId="77777777" w:rsidR="003741ED" w:rsidRPr="00471CDB" w:rsidRDefault="003741ED" w:rsidP="002B1E0A">
            <w:pPr>
              <w:pStyle w:val="TableText"/>
              <w:jc w:val="center"/>
            </w:pPr>
            <w:r w:rsidRPr="00471CDB">
              <w:t>247</w:t>
            </w:r>
            <w:r>
              <w:t>–</w:t>
            </w:r>
            <w:r w:rsidRPr="00471CDB">
              <w:t>272</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7" w14:textId="77777777" w:rsidR="003741ED" w:rsidRPr="00471CDB" w:rsidRDefault="003741ED" w:rsidP="002B1E0A">
            <w:pPr>
              <w:pStyle w:val="TableText"/>
              <w:jc w:val="center"/>
            </w:pPr>
            <w:r w:rsidRPr="00471CDB">
              <w:t>68</w:t>
            </w:r>
            <w:r>
              <w:t>–</w:t>
            </w:r>
            <w:r w:rsidRPr="00471CDB">
              <w:t>81</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8" w14:textId="77777777" w:rsidR="003741ED" w:rsidRPr="00471CDB" w:rsidRDefault="003741ED" w:rsidP="002B1E0A">
            <w:pPr>
              <w:pStyle w:val="TableText"/>
              <w:jc w:val="center"/>
            </w:pPr>
            <w:r w:rsidRPr="00471CDB">
              <w:t>61</w:t>
            </w:r>
            <w:r>
              <w:t>–</w:t>
            </w:r>
            <w:r w:rsidRPr="00471CDB">
              <w:t>74</w:t>
            </w:r>
          </w:p>
        </w:tc>
      </w:tr>
      <w:tr w:rsidR="003741ED" w:rsidRPr="00471CDB" w14:paraId="041E339F" w14:textId="77777777" w:rsidTr="002B1E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A" w14:textId="77777777" w:rsidR="003741ED" w:rsidRPr="00471CDB" w:rsidRDefault="003741ED" w:rsidP="002B1E0A">
            <w:pPr>
              <w:pStyle w:val="TableText"/>
              <w:jc w:val="center"/>
            </w:pPr>
            <w:r w:rsidRPr="00471CDB">
              <w:t>8</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B" w14:textId="77777777" w:rsidR="003741ED" w:rsidRPr="00471CDB" w:rsidRDefault="003741ED" w:rsidP="002B1E0A">
            <w:pPr>
              <w:pStyle w:val="TableText"/>
              <w:jc w:val="center"/>
            </w:pPr>
            <w:r w:rsidRPr="00471CDB">
              <w:t>286</w:t>
            </w:r>
            <w:r>
              <w:t>–</w:t>
            </w:r>
            <w:r w:rsidRPr="00471CDB">
              <w:t>310</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C" w14:textId="77777777" w:rsidR="003741ED" w:rsidRPr="00471CDB" w:rsidRDefault="003741ED" w:rsidP="002B1E0A">
            <w:pPr>
              <w:pStyle w:val="TableText"/>
              <w:jc w:val="center"/>
            </w:pPr>
            <w:r w:rsidRPr="00471CDB">
              <w:t>273</w:t>
            </w:r>
            <w:r>
              <w:t>–</w:t>
            </w:r>
            <w:r w:rsidRPr="00471CDB">
              <w:t>298</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D" w14:textId="77777777" w:rsidR="003741ED" w:rsidRPr="00471CDB" w:rsidRDefault="003741ED" w:rsidP="002B1E0A">
            <w:pPr>
              <w:pStyle w:val="TableText"/>
              <w:jc w:val="center"/>
            </w:pPr>
            <w:r w:rsidRPr="00471CDB">
              <w:t>82</w:t>
            </w:r>
            <w:r>
              <w:t>–</w:t>
            </w:r>
            <w:r w:rsidRPr="00471CDB">
              <w:t>95</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9E" w14:textId="77777777" w:rsidR="003741ED" w:rsidRPr="00471CDB" w:rsidRDefault="003741ED" w:rsidP="002B1E0A">
            <w:pPr>
              <w:pStyle w:val="TableText"/>
              <w:jc w:val="center"/>
            </w:pPr>
            <w:r w:rsidRPr="00471CDB">
              <w:t>75</w:t>
            </w:r>
            <w:r>
              <w:t>–</w:t>
            </w:r>
            <w:r w:rsidRPr="00471CDB">
              <w:t>88</w:t>
            </w:r>
          </w:p>
        </w:tc>
      </w:tr>
      <w:tr w:rsidR="003741ED" w:rsidRPr="00471CDB" w14:paraId="041E33A5" w14:textId="77777777" w:rsidTr="002B1E0A">
        <w:trPr>
          <w:cantSplit/>
        </w:trPr>
        <w:tc>
          <w:tcPr>
            <w:tcW w:w="1276"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A0" w14:textId="77777777" w:rsidR="003741ED" w:rsidRPr="00471CDB" w:rsidRDefault="003741ED" w:rsidP="002B1E0A">
            <w:pPr>
              <w:pStyle w:val="TableText"/>
              <w:jc w:val="center"/>
            </w:pPr>
            <w:r w:rsidRPr="00471CDB">
              <w:t>9</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A1" w14:textId="77777777" w:rsidR="003741ED" w:rsidRPr="00471CDB" w:rsidRDefault="003741ED" w:rsidP="002B1E0A">
            <w:pPr>
              <w:pStyle w:val="TableText"/>
              <w:jc w:val="center"/>
            </w:pPr>
            <w:r w:rsidRPr="00471CDB">
              <w:t>311</w:t>
            </w:r>
            <w:r>
              <w:t>–</w:t>
            </w:r>
            <w:r w:rsidRPr="00471CDB">
              <w:t>335</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A2" w14:textId="77777777" w:rsidR="003741ED" w:rsidRPr="00471CDB" w:rsidRDefault="003741ED" w:rsidP="002B1E0A">
            <w:pPr>
              <w:pStyle w:val="TableText"/>
              <w:jc w:val="center"/>
            </w:pPr>
            <w:r w:rsidRPr="00471CDB">
              <w:t>299</w:t>
            </w:r>
            <w:r>
              <w:t>–</w:t>
            </w:r>
            <w:r w:rsidRPr="00471CDB">
              <w:t>323</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A3" w14:textId="77777777" w:rsidR="003741ED" w:rsidRPr="00471CDB" w:rsidRDefault="003741ED" w:rsidP="002B1E0A">
            <w:pPr>
              <w:pStyle w:val="TableText"/>
              <w:jc w:val="center"/>
            </w:pPr>
            <w:r w:rsidRPr="00471CDB">
              <w:t>96</w:t>
            </w:r>
            <w:r>
              <w:t>–</w:t>
            </w:r>
            <w:r w:rsidRPr="00471CDB">
              <w:t>110</w:t>
            </w:r>
          </w:p>
        </w:tc>
        <w:tc>
          <w:tcPr>
            <w:tcW w:w="1701" w:type="dxa"/>
            <w:tcBorders>
              <w:top w:val="single" w:sz="4" w:space="0" w:color="A6A6A6" w:themeColor="background1" w:themeShade="A6"/>
              <w:left w:val="nil"/>
              <w:bottom w:val="single" w:sz="4" w:space="0" w:color="A6A6A6" w:themeColor="background1" w:themeShade="A6"/>
              <w:right w:val="nil"/>
            </w:tcBorders>
            <w:shd w:val="clear" w:color="auto" w:fill="auto"/>
          </w:tcPr>
          <w:p w14:paraId="041E33A4" w14:textId="77777777" w:rsidR="003741ED" w:rsidRPr="00471CDB" w:rsidRDefault="003741ED" w:rsidP="002B1E0A">
            <w:pPr>
              <w:pStyle w:val="TableText"/>
              <w:jc w:val="center"/>
            </w:pPr>
            <w:r w:rsidRPr="00471CDB">
              <w:t>89</w:t>
            </w:r>
            <w:r>
              <w:t>–</w:t>
            </w:r>
            <w:r w:rsidRPr="00471CDB">
              <w:t>102</w:t>
            </w:r>
          </w:p>
        </w:tc>
      </w:tr>
    </w:tbl>
    <w:p w14:paraId="041E33A6" w14:textId="77777777" w:rsidR="003741ED" w:rsidRPr="00C1279C" w:rsidRDefault="003741ED" w:rsidP="002B1E0A">
      <w:pPr>
        <w:pStyle w:val="Note"/>
      </w:pPr>
      <w:r w:rsidRPr="00C1279C">
        <w:t>*</w:t>
      </w:r>
      <w:r w:rsidRPr="00C1279C">
        <w:tab/>
        <w:t>These Bayesian results are obtained using Jeffreys</w:t>
      </w:r>
      <w:r>
        <w:t>’</w:t>
      </w:r>
      <w:r w:rsidRPr="00C1279C">
        <w:t xml:space="preserve"> uninformative prior, as discussed in the next section.</w:t>
      </w:r>
    </w:p>
    <w:p w14:paraId="041E33A7" w14:textId="77777777" w:rsidR="003741ED" w:rsidRPr="00C1279C" w:rsidRDefault="003741ED" w:rsidP="002B1E0A">
      <w:pPr>
        <w:pStyle w:val="Note"/>
      </w:pPr>
      <w:r w:rsidRPr="00C1279C">
        <w:t>#</w:t>
      </w:r>
      <w:r w:rsidRPr="00C1279C">
        <w:tab/>
        <w:t>It is not possible to keep the consumer</w:t>
      </w:r>
      <w:r>
        <w:t>’</w:t>
      </w:r>
      <w:r w:rsidRPr="00C1279C">
        <w:t>s risk below 5</w:t>
      </w:r>
      <w:r>
        <w:t> percent</w:t>
      </w:r>
      <w:r w:rsidRPr="00C1279C">
        <w:t xml:space="preserve"> if less than 59 samples are to hand (classical method) or if less than 38 samples are to hand (Bayesian method with an uninformative (Jeffreys</w:t>
      </w:r>
      <w:r>
        <w:t>’</w:t>
      </w:r>
      <w:r w:rsidRPr="00C1279C">
        <w:t>) prior).</w:t>
      </w:r>
    </w:p>
    <w:p w14:paraId="041E33A8" w14:textId="77777777" w:rsidR="003741ED" w:rsidRPr="00C1279C" w:rsidRDefault="003741ED" w:rsidP="002B1E0A">
      <w:pPr>
        <w:pStyle w:val="Note"/>
      </w:pPr>
      <w:r w:rsidRPr="00C1279C">
        <w:t>†</w:t>
      </w:r>
      <w:r w:rsidRPr="00C1279C">
        <w:tab/>
        <w:t>The risk is exactly 5</w:t>
      </w:r>
      <w:r>
        <w:t> percent</w:t>
      </w:r>
      <w:r w:rsidRPr="00C1279C">
        <w:t xml:space="preserve"> in this case.</w:t>
      </w:r>
    </w:p>
    <w:p w14:paraId="041E33A9" w14:textId="77777777" w:rsidR="003741ED" w:rsidRDefault="003741ED" w:rsidP="002B1E0A">
      <w:pPr>
        <w:pStyle w:val="Note"/>
      </w:pPr>
      <w:r w:rsidRPr="00C1279C">
        <w:t>‡</w:t>
      </w:r>
      <w:r w:rsidRPr="00C1279C">
        <w:tab/>
        <w:t>It is impossible to keep the supplier</w:t>
      </w:r>
      <w:r>
        <w:t>’</w:t>
      </w:r>
      <w:r w:rsidRPr="00C1279C">
        <w:t>s risk below 5</w:t>
      </w:r>
      <w:r>
        <w:t> percent</w:t>
      </w:r>
      <w:r w:rsidRPr="00C1279C">
        <w:t xml:space="preserve"> if no transgressions are allowed in this Bayesian approach.</w:t>
      </w:r>
    </w:p>
    <w:p w14:paraId="041E33AA" w14:textId="77777777" w:rsidR="002B1E0A" w:rsidRPr="002B1E0A" w:rsidRDefault="002B1E0A" w:rsidP="002B1E0A"/>
    <w:p w14:paraId="041E33AB" w14:textId="77777777" w:rsidR="003741ED" w:rsidRPr="00471CDB" w:rsidRDefault="003741ED" w:rsidP="002B1E0A">
      <w:pPr>
        <w:pStyle w:val="Heading3-appendix"/>
      </w:pPr>
      <w:bookmarkStart w:id="261" w:name="_Toc364704715"/>
      <w:bookmarkStart w:id="262" w:name="_Toc8978853"/>
      <w:r w:rsidRPr="00471CDB">
        <w:t>Bayesian evaluation of risks</w:t>
      </w:r>
      <w:bookmarkEnd w:id="261"/>
      <w:bookmarkEnd w:id="262"/>
    </w:p>
    <w:p w14:paraId="041E33AC" w14:textId="77777777" w:rsidR="003741ED" w:rsidRPr="00471CDB" w:rsidRDefault="003741ED" w:rsidP="00BE671C">
      <w:pPr>
        <w:keepLines/>
      </w:pPr>
      <w:r w:rsidRPr="00471CDB">
        <w:t>In the classical approach to calculating these calculations no use is made of any previously obtained data or opinions; a single particular value of the probability of an exceedance occurring is selected (5</w:t>
      </w:r>
      <w:r>
        <w:t> percent</w:t>
      </w:r>
      <w:r w:rsidRPr="00471CDB">
        <w:t xml:space="preserve"> in this case).</w:t>
      </w:r>
      <w:r>
        <w:t xml:space="preserve"> </w:t>
      </w:r>
      <w:r w:rsidRPr="00471CDB">
        <w:t>In using the Bayesian approach, the probability of exceedance is regarded as a continuous variable about which confidence statements can be made.</w:t>
      </w:r>
      <w:r>
        <w:t xml:space="preserve"> </w:t>
      </w:r>
      <w:r w:rsidRPr="00471CDB">
        <w:t xml:space="preserve">To do this, use is made of prior knowledge, or opinion, to define beforehand a </w:t>
      </w:r>
      <w:r>
        <w:t>‘</w:t>
      </w:r>
      <w:r w:rsidRPr="00471CDB">
        <w:t>prior</w:t>
      </w:r>
      <w:r>
        <w:t>’</w:t>
      </w:r>
      <w:r w:rsidRPr="00471CDB">
        <w:t xml:space="preserve"> probability distribution.</w:t>
      </w:r>
      <w:r>
        <w:t xml:space="preserve"> </w:t>
      </w:r>
      <w:r w:rsidRPr="00471CDB">
        <w:t xml:space="preserve">This probability can then be upgraded using the actual data collected to obtain a </w:t>
      </w:r>
      <w:r>
        <w:t>‘</w:t>
      </w:r>
      <w:r w:rsidRPr="00471CDB">
        <w:t>posterior</w:t>
      </w:r>
      <w:r>
        <w:t>’</w:t>
      </w:r>
      <w:r w:rsidRPr="00471CDB">
        <w:t xml:space="preserve"> probability that is termed the </w:t>
      </w:r>
      <w:r>
        <w:t>‘</w:t>
      </w:r>
      <w:r w:rsidRPr="00471CDB">
        <w:t>Confidence of Compliance</w:t>
      </w:r>
      <w:r>
        <w:t>’</w:t>
      </w:r>
      <w:r w:rsidRPr="00471CDB">
        <w:t>.</w:t>
      </w:r>
      <w:r>
        <w:t xml:space="preserve"> </w:t>
      </w:r>
      <w:r w:rsidRPr="00471CDB">
        <w:t xml:space="preserve">Note that this approach does not require the borderline assumption, so results are </w:t>
      </w:r>
      <w:r w:rsidRPr="00471CDB">
        <w:rPr>
          <w:i/>
        </w:rPr>
        <w:t>always</w:t>
      </w:r>
      <w:r w:rsidRPr="00471CDB">
        <w:t xml:space="preserve"> less pessimistic than those obtained under the classical approach, for every possible prior.</w:t>
      </w:r>
    </w:p>
    <w:p w14:paraId="041E33AD" w14:textId="77777777" w:rsidR="003741ED" w:rsidRPr="00471CDB" w:rsidRDefault="003741ED" w:rsidP="002B1E0A"/>
    <w:p w14:paraId="041E33AE" w14:textId="77777777" w:rsidR="003741ED" w:rsidRDefault="003741ED" w:rsidP="002B1E0A">
      <w:r w:rsidRPr="00471CDB">
        <w:t xml:space="preserve">These calculations lead to Figure </w:t>
      </w:r>
      <w:r>
        <w:t>A</w:t>
      </w:r>
      <w:r w:rsidRPr="00471CDB">
        <w:t>1 from which the required number of samples for a given number of allowable transgressions can be read.</w:t>
      </w:r>
      <w:r>
        <w:t xml:space="preserve"> </w:t>
      </w:r>
      <w:r w:rsidRPr="00471CDB">
        <w:t xml:space="preserve">Key values from the data sets used to produce these plots are summarised in Table </w:t>
      </w:r>
      <w:r>
        <w:t>A1.</w:t>
      </w:r>
      <w:r w:rsidRPr="00471CDB">
        <w:t>1.</w:t>
      </w:r>
      <w:r>
        <w:t xml:space="preserve"> </w:t>
      </w:r>
      <w:r w:rsidRPr="00471CDB">
        <w:t xml:space="preserve">These values </w:t>
      </w:r>
      <w:r>
        <w:t>we</w:t>
      </w:r>
      <w:r w:rsidRPr="00471CDB">
        <w:t>re contained in Table A1.</w:t>
      </w:r>
      <w:r>
        <w:t>4</w:t>
      </w:r>
      <w:r w:rsidRPr="00471CDB">
        <w:t xml:space="preserve"> of the </w:t>
      </w:r>
      <w:r>
        <w:t xml:space="preserve">2005 </w:t>
      </w:r>
      <w:r w:rsidRPr="00471CDB">
        <w:t>DWSNZ</w:t>
      </w:r>
      <w:r>
        <w:t xml:space="preserve"> (revised 2008, revised 2018). They now appear as Table A1.2 in this chapter of the Guidelines.</w:t>
      </w:r>
    </w:p>
    <w:p w14:paraId="041E33AF" w14:textId="77777777" w:rsidR="002B1E0A" w:rsidRPr="00471CDB" w:rsidRDefault="002B1E0A" w:rsidP="002B1E0A"/>
    <w:p w14:paraId="041E33B0" w14:textId="77777777" w:rsidR="003741ED" w:rsidRDefault="003741ED" w:rsidP="002B1E0A">
      <w:pPr>
        <w:pStyle w:val="Figure-appendix"/>
      </w:pPr>
      <w:bookmarkStart w:id="263" w:name="_Toc350763015"/>
      <w:bookmarkStart w:id="264" w:name="_Toc364675922"/>
      <w:bookmarkStart w:id="265" w:name="_Toc8978928"/>
      <w:bookmarkStart w:id="266" w:name="_Toc8979362"/>
      <w:r w:rsidRPr="00A9688B">
        <w:t xml:space="preserve">Figure </w:t>
      </w:r>
      <w:r>
        <w:t>A</w:t>
      </w:r>
      <w:r w:rsidRPr="00A9688B">
        <w:t>1: Bayesian confidence of compliance curves for a 95</w:t>
      </w:r>
      <w:r>
        <w:t>th percent</w:t>
      </w:r>
      <w:r w:rsidRPr="00A9688B">
        <w:t>ile standard, using Jeffreys</w:t>
      </w:r>
      <w:r>
        <w:t>’</w:t>
      </w:r>
      <w:r w:rsidRPr="00A9688B">
        <w:t xml:space="preserve"> uninformative</w:t>
      </w:r>
      <w:bookmarkEnd w:id="263"/>
      <w:bookmarkEnd w:id="264"/>
      <w:bookmarkEnd w:id="265"/>
      <w:bookmarkEnd w:id="266"/>
    </w:p>
    <w:p w14:paraId="041E33B1" w14:textId="77777777" w:rsidR="003741ED" w:rsidRPr="00476297" w:rsidRDefault="003741ED" w:rsidP="002B1E0A">
      <w:r>
        <w:rPr>
          <w:noProof/>
          <w:lang w:eastAsia="en-NZ"/>
        </w:rPr>
        <w:drawing>
          <wp:inline distT="0" distB="0" distL="0" distR="0" wp14:anchorId="041E359A" wp14:editId="041E359B">
            <wp:extent cx="5145578" cy="2717328"/>
            <wp:effectExtent l="0" t="0" r="0" b="6985"/>
            <wp:docPr id="2" name="Picture 2" descr="Figure A1: Bayesian confidence of compliance curves for a 95th percentile standard, using Jeffreys’ uninformative" title="Figure A1: Bayesian confidence of compliance curves for a 95th percentile standard, using Jeffreys’ uninform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A1: Bayesian confidence of compliance curves for a 95th percentile standard, using Jeffreys’ uninformativ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45294" cy="2717178"/>
                    </a:xfrm>
                    <a:prstGeom prst="rect">
                      <a:avLst/>
                    </a:prstGeom>
                    <a:noFill/>
                    <a:ln>
                      <a:noFill/>
                    </a:ln>
                  </pic:spPr>
                </pic:pic>
              </a:graphicData>
            </a:graphic>
          </wp:inline>
        </w:drawing>
      </w:r>
    </w:p>
    <w:p w14:paraId="041E33B2" w14:textId="77777777" w:rsidR="003741ED" w:rsidRDefault="003741ED" w:rsidP="002B1E0A"/>
    <w:p w14:paraId="041E33B3" w14:textId="77777777" w:rsidR="003741ED" w:rsidRPr="00471CDB" w:rsidRDefault="003741ED" w:rsidP="002B1E0A">
      <w:r w:rsidRPr="00471CDB">
        <w:t>The desired maximum supplier</w:t>
      </w:r>
      <w:r>
        <w:t>’</w:t>
      </w:r>
      <w:r w:rsidRPr="00471CDB">
        <w:t>s risk (5</w:t>
      </w:r>
      <w:r>
        <w:t> percent</w:t>
      </w:r>
      <w:r w:rsidRPr="00471CDB">
        <w:t>) corresponds to confidence of failure = 95</w:t>
      </w:r>
      <w:r>
        <w:t> percent</w:t>
      </w:r>
      <w:r w:rsidRPr="00471CDB">
        <w:t>, as shown by the long dashed line on each graph.</w:t>
      </w:r>
      <w:r>
        <w:t xml:space="preserve"> </w:t>
      </w:r>
      <w:r w:rsidRPr="00471CDB">
        <w:t>The desired maximum consumer</w:t>
      </w:r>
      <w:r>
        <w:t>’</w:t>
      </w:r>
      <w:r w:rsidRPr="00471CDB">
        <w:t>s risk (5</w:t>
      </w:r>
      <w:r>
        <w:t> percent</w:t>
      </w:r>
      <w:r w:rsidRPr="00471CDB">
        <w:t>) corresponds to confidence of compliance = 95</w:t>
      </w:r>
      <w:r>
        <w:t> percent</w:t>
      </w:r>
      <w:r w:rsidRPr="00471CDB">
        <w:t>, as shown by the short dashed line on each graph.</w:t>
      </w:r>
      <w:r>
        <w:t xml:space="preserve"> </w:t>
      </w:r>
      <w:r w:rsidRPr="00471CDB">
        <w:t>Details of the calculation procedure and the details of Jeffreys</w:t>
      </w:r>
      <w:r>
        <w:t>’</w:t>
      </w:r>
      <w:r w:rsidRPr="00471CDB">
        <w:t xml:space="preserve"> prior, are given in McBride </w:t>
      </w:r>
      <w:r>
        <w:t>and</w:t>
      </w:r>
      <w:r w:rsidRPr="00471CDB">
        <w:t xml:space="preserve"> Ellis (2001) and McBride (2005).</w:t>
      </w:r>
    </w:p>
    <w:p w14:paraId="041E33B4" w14:textId="77777777" w:rsidR="003741ED" w:rsidRPr="00471CDB" w:rsidRDefault="003741ED" w:rsidP="002B1E0A"/>
    <w:p w14:paraId="041E33B5" w14:textId="77777777" w:rsidR="003741ED" w:rsidRPr="00471CDB" w:rsidRDefault="003741ED" w:rsidP="002B1E0A">
      <w:pPr>
        <w:pStyle w:val="Heading3-appendix"/>
      </w:pPr>
      <w:bookmarkStart w:id="267" w:name="_Toc364704716"/>
      <w:bookmarkStart w:id="268" w:name="_Toc8978854"/>
      <w:r w:rsidRPr="00471CDB">
        <w:t>Choice of priors</w:t>
      </w:r>
      <w:bookmarkEnd w:id="267"/>
      <w:bookmarkEnd w:id="268"/>
    </w:p>
    <w:p w14:paraId="041E33B6" w14:textId="77777777" w:rsidR="003741ED" w:rsidRPr="00471CDB" w:rsidRDefault="003741ED" w:rsidP="00BE671C">
      <w:pPr>
        <w:keepLines/>
      </w:pPr>
      <w:r w:rsidRPr="00471CDB">
        <w:t xml:space="preserve">Using the Bayesian approach requires a decision to be made about the nature of the prior probability distribution (the </w:t>
      </w:r>
      <w:r>
        <w:t>‘</w:t>
      </w:r>
      <w:r w:rsidRPr="00471CDB">
        <w:t>prior</w:t>
      </w:r>
      <w:r>
        <w:t>’</w:t>
      </w:r>
      <w:r w:rsidRPr="00471CDB">
        <w:t>).</w:t>
      </w:r>
      <w:r>
        <w:t xml:space="preserve"> </w:t>
      </w:r>
      <w:r w:rsidRPr="00471CDB">
        <w:t xml:space="preserve">When there is no historical information on which to base a prior, the common-sense approach is to adopt an </w:t>
      </w:r>
      <w:r>
        <w:t>‘</w:t>
      </w:r>
      <w:r w:rsidRPr="00471CDB">
        <w:t>uninformative</w:t>
      </w:r>
      <w:r>
        <w:t>’</w:t>
      </w:r>
      <w:r w:rsidRPr="00471CDB">
        <w:t xml:space="preserve"> prior that best reflects our ignorance of the likelihood of compliance.</w:t>
      </w:r>
      <w:r>
        <w:t xml:space="preserve"> </w:t>
      </w:r>
      <w:r w:rsidRPr="00471CDB">
        <w:t>The calculations for Figure</w:t>
      </w:r>
      <w:r w:rsidR="002B1E0A">
        <w:t> </w:t>
      </w:r>
      <w:r>
        <w:t>A</w:t>
      </w:r>
      <w:r w:rsidRPr="00471CDB">
        <w:t>1, from which results for the DWSNZ were obtained, use the Jeffrey</w:t>
      </w:r>
      <w:r>
        <w:t>’</w:t>
      </w:r>
      <w:r w:rsidRPr="00471CDB">
        <w:t>s (uninformative) prior.</w:t>
      </w:r>
      <w:r>
        <w:t xml:space="preserve"> </w:t>
      </w:r>
      <w:r w:rsidRPr="00471CDB">
        <w:t xml:space="preserve">Strictly, there is no such thing as a truly </w:t>
      </w:r>
      <w:r>
        <w:t>‘</w:t>
      </w:r>
      <w:r w:rsidRPr="00471CDB">
        <w:t>uninformative</w:t>
      </w:r>
      <w:r>
        <w:t>’</w:t>
      </w:r>
      <w:r w:rsidRPr="00471CDB">
        <w:t xml:space="preserve"> prior; any statement about the probability of the state of things is saying something.</w:t>
      </w:r>
      <w:r>
        <w:t xml:space="preserve"> </w:t>
      </w:r>
      <w:r w:rsidRPr="00471CDB">
        <w:t xml:space="preserve">Nevertheless, the term </w:t>
      </w:r>
      <w:r>
        <w:t>‘</w:t>
      </w:r>
      <w:r w:rsidRPr="00471CDB">
        <w:t>uninformative</w:t>
      </w:r>
      <w:r>
        <w:t>’</w:t>
      </w:r>
      <w:r w:rsidRPr="00471CDB">
        <w:t xml:space="preserve"> is in widespread use in the Bayesian statistical literature.</w:t>
      </w:r>
      <w:r>
        <w:t xml:space="preserve"> </w:t>
      </w:r>
      <w:r w:rsidRPr="00471CDB">
        <w:t>Arguments in favour of the (U</w:t>
      </w:r>
      <w:r>
        <w:noBreakHyphen/>
      </w:r>
      <w:r w:rsidRPr="00471CDB">
        <w:t>shaped) Jeffrey</w:t>
      </w:r>
      <w:r>
        <w:t>’</w:t>
      </w:r>
      <w:r w:rsidRPr="00471CDB">
        <w:t>s prior are given in McBride and Ellis (2001).</w:t>
      </w:r>
    </w:p>
    <w:p w14:paraId="041E33B7" w14:textId="77777777" w:rsidR="003741ED" w:rsidRPr="00471CDB" w:rsidRDefault="003741ED" w:rsidP="002B1E0A"/>
    <w:p w14:paraId="041E33B8" w14:textId="77777777" w:rsidR="003741ED" w:rsidRPr="00471CDB" w:rsidRDefault="003741ED" w:rsidP="002B1E0A">
      <w:r w:rsidRPr="00471CDB">
        <w:t>There may be situations, however, in which there is prior knowledge of the likelihood of compliance.</w:t>
      </w:r>
      <w:r>
        <w:t xml:space="preserve"> </w:t>
      </w:r>
      <w:r w:rsidRPr="00471CDB">
        <w:t>Bayesian Confidence of Compliance calculations allow account to be taken of this knowledge, and the numbers of samples needing to be taken appropriately modified.</w:t>
      </w:r>
    </w:p>
    <w:p w14:paraId="041E33B9" w14:textId="77777777" w:rsidR="003741ED" w:rsidRPr="00471CDB" w:rsidRDefault="003741ED" w:rsidP="002B1E0A"/>
    <w:p w14:paraId="041E33BA" w14:textId="77777777" w:rsidR="003741ED" w:rsidRPr="00471CDB" w:rsidRDefault="003741ED" w:rsidP="002B1E0A">
      <w:pPr>
        <w:pStyle w:val="Heading3-appendix"/>
      </w:pPr>
      <w:bookmarkStart w:id="269" w:name="_Toc364704717"/>
      <w:bookmarkStart w:id="270" w:name="_Toc8978855"/>
      <w:r w:rsidRPr="00471CDB">
        <w:t>Timeframe for compliance</w:t>
      </w:r>
      <w:bookmarkEnd w:id="269"/>
      <w:bookmarkEnd w:id="270"/>
    </w:p>
    <w:p w14:paraId="041E33BB" w14:textId="77777777" w:rsidR="003741ED" w:rsidRPr="00471CDB" w:rsidRDefault="003741ED" w:rsidP="002B1E0A">
      <w:r w:rsidRPr="00471CDB">
        <w:t xml:space="preserve">The statistics provided in Table </w:t>
      </w:r>
      <w:r>
        <w:t>A1.</w:t>
      </w:r>
      <w:r w:rsidRPr="00471CDB">
        <w:t>1 are independent of time.</w:t>
      </w:r>
      <w:r>
        <w:t xml:space="preserve"> </w:t>
      </w:r>
      <w:r w:rsidRPr="00471CDB">
        <w:t>The number of transgressions that can occur while still keeping the risk to the consumer to less than 5</w:t>
      </w:r>
      <w:r>
        <w:t> percent</w:t>
      </w:r>
      <w:r w:rsidRPr="00471CDB">
        <w:t xml:space="preserve"> and hence comply with the </w:t>
      </w:r>
      <w:r w:rsidRPr="00471CDB">
        <w:rPr>
          <w:iCs/>
        </w:rPr>
        <w:t xml:space="preserve">DWSNZ </w:t>
      </w:r>
      <w:r w:rsidRPr="00471CDB">
        <w:t>depends only upon the number of samples taken.</w:t>
      </w:r>
      <w:r>
        <w:t xml:space="preserve"> </w:t>
      </w:r>
      <w:r w:rsidRPr="00471CDB">
        <w:t>For example, if two transgressions are recorded, so long as at least 107</w:t>
      </w:r>
      <w:r w:rsidR="002B1E0A">
        <w:t> </w:t>
      </w:r>
      <w:r w:rsidRPr="00471CDB">
        <w:t>other samples (giving a total of 109) have not exceeded the MAV, the risk to the consumer is less than 5</w:t>
      </w:r>
      <w:r>
        <w:t> percent</w:t>
      </w:r>
      <w:r w:rsidRPr="00471CDB">
        <w:t xml:space="preserve"> irrespective of the period over which the samples were collected.</w:t>
      </w:r>
    </w:p>
    <w:p w14:paraId="041E33BC" w14:textId="77777777" w:rsidR="003741ED" w:rsidRPr="00471CDB" w:rsidRDefault="003741ED" w:rsidP="002B1E0A"/>
    <w:p w14:paraId="041E33BD" w14:textId="77777777" w:rsidR="003741ED" w:rsidRPr="00471CDB" w:rsidRDefault="003741ED" w:rsidP="002B1E0A">
      <w:r w:rsidRPr="00471CDB">
        <w:t>For the purposes of compliance, however, it is necessary to set a time period within which the statistics are to be applied.</w:t>
      </w:r>
      <w:r>
        <w:t xml:space="preserve"> </w:t>
      </w:r>
      <w:r w:rsidRPr="00471CDB">
        <w:t>The reason for this is demonstrated by considering a situation in which 48 samples are collected per year for three years (total 144</w:t>
      </w:r>
      <w:r w:rsidR="002B1E0A">
        <w:t> </w:t>
      </w:r>
      <w:r w:rsidRPr="00471CDB">
        <w:t>samples), and that only two of these samples exceed the MAV, both in the last two months of sampling.</w:t>
      </w:r>
      <w:r>
        <w:t xml:space="preserve"> </w:t>
      </w:r>
      <w:r w:rsidRPr="00471CDB">
        <w:t>When the whole three years is considered, the risk to the consumer is less than 5</w:t>
      </w:r>
      <w:r>
        <w:t> percent</w:t>
      </w:r>
      <w:r w:rsidRPr="00471CDB">
        <w:t xml:space="preserve"> because a maximum of three transgressions is allowed for 144 samples (see the first Bayesian column in Table </w:t>
      </w:r>
      <w:r>
        <w:t>A1.</w:t>
      </w:r>
      <w:r w:rsidRPr="00471CDB">
        <w:t>1).</w:t>
      </w:r>
      <w:r>
        <w:t xml:space="preserve"> </w:t>
      </w:r>
      <w:r w:rsidRPr="00471CDB">
        <w:t>However, the fact that both transgressions occur in a short period indicates that there may well be a water quality problem that has developed near the end of the three</w:t>
      </w:r>
      <w:r>
        <w:t>-</w:t>
      </w:r>
      <w:r w:rsidRPr="00471CDB">
        <w:t>year period.</w:t>
      </w:r>
      <w:r>
        <w:t xml:space="preserve"> </w:t>
      </w:r>
      <w:r w:rsidRPr="00471CDB">
        <w:t>This possible problem is correctly identified if a shorter period for assessing compliance is defined: for example, one year.</w:t>
      </w:r>
      <w:r>
        <w:t xml:space="preserve"> </w:t>
      </w:r>
      <w:r w:rsidRPr="00471CDB">
        <w:t xml:space="preserve">Now, for the first two years in which there were no transgressions, the number of samples taken meets the requirements of Table </w:t>
      </w:r>
      <w:r>
        <w:t>A1.</w:t>
      </w:r>
      <w:r w:rsidRPr="00471CDB">
        <w:t>1 (a</w:t>
      </w:r>
      <w:r w:rsidR="002B1E0A">
        <w:t> </w:t>
      </w:r>
      <w:r w:rsidRPr="00471CDB">
        <w:t>minimum of 38 samples taken if there is no exceed</w:t>
      </w:r>
      <w:r>
        <w:t>a</w:t>
      </w:r>
      <w:r w:rsidRPr="00471CDB">
        <w:t>nce).</w:t>
      </w:r>
      <w:r>
        <w:t xml:space="preserve"> </w:t>
      </w:r>
      <w:r w:rsidRPr="00471CDB">
        <w:t xml:space="preserve">The supply does not comply in the last year however, because there are two transgressions during this year, and Table </w:t>
      </w:r>
      <w:r>
        <w:t>A1.</w:t>
      </w:r>
      <w:r w:rsidRPr="00471CDB">
        <w:t>1 requires a minimum of 109 samples to have been taken to reduce the consumer</w:t>
      </w:r>
      <w:r>
        <w:t>’</w:t>
      </w:r>
      <w:r w:rsidRPr="00471CDB">
        <w:t>s risk to less than 5</w:t>
      </w:r>
      <w:r>
        <w:t> percent</w:t>
      </w:r>
      <w:r w:rsidRPr="00471CDB">
        <w:t>.</w:t>
      </w:r>
    </w:p>
    <w:p w14:paraId="041E33BE" w14:textId="77777777" w:rsidR="003741ED" w:rsidRPr="00471CDB" w:rsidRDefault="003741ED" w:rsidP="002B1E0A"/>
    <w:p w14:paraId="041E33BF" w14:textId="77777777" w:rsidR="003741ED" w:rsidRPr="00471CDB" w:rsidRDefault="003741ED" w:rsidP="002B1E0A">
      <w:r w:rsidRPr="00471CDB">
        <w:t xml:space="preserve">For the purposes of the </w:t>
      </w:r>
      <w:r w:rsidRPr="00471CDB">
        <w:rPr>
          <w:iCs/>
        </w:rPr>
        <w:t>DWSNZ</w:t>
      </w:r>
      <w:r w:rsidRPr="00471CDB">
        <w:t>, the period over which compliance is assessed has been indexed to the community size, as has the sampling frequency, which should assist in minimising these issues.</w:t>
      </w:r>
    </w:p>
    <w:p w14:paraId="041E33C0" w14:textId="77777777" w:rsidR="003741ED" w:rsidRPr="00471CDB" w:rsidRDefault="003741ED" w:rsidP="002B1E0A"/>
    <w:p w14:paraId="041E33C1" w14:textId="77777777" w:rsidR="003741ED" w:rsidRPr="00471CDB" w:rsidRDefault="003741ED" w:rsidP="002B1E0A">
      <w:pPr>
        <w:pStyle w:val="Heading3-appendix"/>
      </w:pPr>
      <w:bookmarkStart w:id="271" w:name="_Toc364704718"/>
      <w:bookmarkStart w:id="272" w:name="_Toc8978856"/>
      <w:r w:rsidRPr="00471CDB">
        <w:t>Compliance for small supplies</w:t>
      </w:r>
      <w:bookmarkEnd w:id="271"/>
      <w:bookmarkEnd w:id="272"/>
    </w:p>
    <w:p w14:paraId="041E33C2" w14:textId="77777777" w:rsidR="003741ED" w:rsidRDefault="003741ED" w:rsidP="002B1E0A">
      <w:r w:rsidRPr="00471CDB">
        <w:t>Small supplies have been given the benefit of the doubt to allow a reduction in the burden that collection of 38 samples a year would otherwise place on them.</w:t>
      </w:r>
      <w:r>
        <w:t xml:space="preserve"> </w:t>
      </w:r>
      <w:r w:rsidRPr="00471CDB">
        <w:t>In doing this it is assumed that 12</w:t>
      </w:r>
      <w:r>
        <w:t> </w:t>
      </w:r>
      <w:r w:rsidRPr="00471CDB">
        <w:t>non-transgressions indicates no transgressions at least 95</w:t>
      </w:r>
      <w:r>
        <w:t> percent</w:t>
      </w:r>
      <w:r w:rsidRPr="00471CDB">
        <w:t xml:space="preserve"> of the time.</w:t>
      </w:r>
      <w:r>
        <w:t xml:space="preserve"> </w:t>
      </w:r>
      <w:r w:rsidRPr="00471CDB">
        <w:t>However, in the event that one sample exceeds the MAV, there is evidence that the 95</w:t>
      </w:r>
      <w:r>
        <w:t>th</w:t>
      </w:r>
      <w:r w:rsidRPr="00471CDB">
        <w:t xml:space="preserve"> percentile standard may not be being met, and further sampling requirements set out in the DWSNZ must be followed.</w:t>
      </w:r>
    </w:p>
    <w:p w14:paraId="041E33C3" w14:textId="77777777" w:rsidR="003741ED" w:rsidRPr="00471CDB" w:rsidRDefault="003741ED" w:rsidP="002B1E0A"/>
    <w:p w14:paraId="041E33C4" w14:textId="77777777" w:rsidR="003741ED" w:rsidRPr="00471CDB" w:rsidRDefault="003741ED" w:rsidP="002B1E0A">
      <w:pPr>
        <w:pStyle w:val="Heading3-appendix"/>
      </w:pPr>
      <w:bookmarkStart w:id="273" w:name="_Toc8978857"/>
      <w:r w:rsidRPr="00471CDB">
        <w:t xml:space="preserve">Compliance for </w:t>
      </w:r>
      <w:r>
        <w:t>other</w:t>
      </w:r>
      <w:r w:rsidRPr="00471CDB">
        <w:t xml:space="preserve"> supplies</w:t>
      </w:r>
      <w:bookmarkEnd w:id="273"/>
    </w:p>
    <w:p w14:paraId="041E33C5" w14:textId="77777777" w:rsidR="003741ED" w:rsidRPr="004D1B69" w:rsidRDefault="003741ED" w:rsidP="002B1E0A">
      <w:r>
        <w:t>T</w:t>
      </w:r>
      <w:r w:rsidRPr="004D1B69">
        <w:t xml:space="preserve">able </w:t>
      </w:r>
      <w:r>
        <w:t xml:space="preserve">A1.2 </w:t>
      </w:r>
      <w:r w:rsidRPr="004D1B69">
        <w:t xml:space="preserve">lists the number of </w:t>
      </w:r>
      <w:r>
        <w:t>exceedance</w:t>
      </w:r>
      <w:r w:rsidRPr="00064446">
        <w:t xml:space="preserve">s </w:t>
      </w:r>
      <w:r w:rsidRPr="004D1B69">
        <w:t>that can be tolerated for 95 percent conﬁdence that a benchmark is not being exceeded more than 5 percent of the time.</w:t>
      </w:r>
    </w:p>
    <w:p w14:paraId="041E33C6" w14:textId="77777777" w:rsidR="003741ED" w:rsidRDefault="003741ED" w:rsidP="002B1E0A"/>
    <w:p w14:paraId="041E33C7" w14:textId="77777777" w:rsidR="003741ED" w:rsidRDefault="003741ED" w:rsidP="002B1E0A">
      <w:r w:rsidRPr="004D1B69">
        <w:t>The table refers to the number of samples, irrespective of the frequency of sampling. Thus, the number of permissible transgressions in 250 samples is the same (seven) whether all 250</w:t>
      </w:r>
      <w:r>
        <w:t> </w:t>
      </w:r>
      <w:r w:rsidRPr="004D1B69">
        <w:t>samples were collected in one day or taken over the course of a year</w:t>
      </w:r>
      <w:r w:rsidRPr="008E6A69">
        <w:t>.</w:t>
      </w:r>
    </w:p>
    <w:p w14:paraId="041E33C8" w14:textId="77777777" w:rsidR="003741ED" w:rsidRDefault="003741ED" w:rsidP="002B1E0A"/>
    <w:p w14:paraId="041E33C9" w14:textId="77777777" w:rsidR="003741ED" w:rsidRPr="00430317" w:rsidRDefault="003741ED" w:rsidP="00F727E9">
      <w:pPr>
        <w:pStyle w:val="Table-appendix"/>
        <w:keepNext w:val="0"/>
        <w:pageBreakBefore/>
        <w:spacing w:before="0"/>
      </w:pPr>
      <w:bookmarkStart w:id="274" w:name="_Toc492967786"/>
      <w:bookmarkStart w:id="275" w:name="_Toc518220372"/>
      <w:bookmarkStart w:id="276" w:name="_Toc8978901"/>
      <w:bookmarkStart w:id="277" w:name="_Toc8979360"/>
      <w:r>
        <w:t xml:space="preserve">Table A1.2: </w:t>
      </w:r>
      <w:r w:rsidRPr="00430317">
        <w:t>Allowable exceed</w:t>
      </w:r>
      <w:r>
        <w:t>a</w:t>
      </w:r>
      <w:r w:rsidRPr="00430317">
        <w:t xml:space="preserve">nces (for 95 percent conﬁdence that the </w:t>
      </w:r>
      <w:r w:rsidRPr="00430317">
        <w:rPr>
          <w:noProof/>
          <w:lang w:eastAsia="en-NZ"/>
        </w:rPr>
        <mc:AlternateContent>
          <mc:Choice Requires="wpg">
            <w:drawing>
              <wp:anchor distT="0" distB="0" distL="114300" distR="114300" simplePos="0" relativeHeight="251659264" behindDoc="1" locked="0" layoutInCell="1" allowOverlap="1" wp14:anchorId="041E359C" wp14:editId="041E359D">
                <wp:simplePos x="0" y="0"/>
                <wp:positionH relativeFrom="page">
                  <wp:posOffset>2272665</wp:posOffset>
                </wp:positionH>
                <wp:positionV relativeFrom="paragraph">
                  <wp:posOffset>274320</wp:posOffset>
                </wp:positionV>
                <wp:extent cx="1270" cy="210820"/>
                <wp:effectExtent l="0" t="0" r="12065" b="635"/>
                <wp:wrapNone/>
                <wp:docPr id="214" name="Group 1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0820"/>
                          <a:chOff x="3579" y="432"/>
                          <a:chExt cx="2" cy="332"/>
                        </a:xfrm>
                      </wpg:grpSpPr>
                      <wps:wsp>
                        <wps:cNvPr id="215" name="Freeform 1509"/>
                        <wps:cNvSpPr>
                          <a:spLocks/>
                        </wps:cNvSpPr>
                        <wps:spPr bwMode="auto">
                          <a:xfrm>
                            <a:off x="3579" y="432"/>
                            <a:ext cx="2" cy="332"/>
                          </a:xfrm>
                          <a:custGeom>
                            <a:avLst/>
                            <a:gdLst>
                              <a:gd name="T0" fmla="+- 0 432 432"/>
                              <a:gd name="T1" fmla="*/ 432 h 332"/>
                              <a:gd name="T2" fmla="+- 0 764 432"/>
                              <a:gd name="T3" fmla="*/ 764 h 332"/>
                              <a:gd name="T4" fmla="+- 0 432 432"/>
                              <a:gd name="T5" fmla="*/ 432 h 332"/>
                            </a:gdLst>
                            <a:ahLst/>
                            <a:cxnLst>
                              <a:cxn ang="0">
                                <a:pos x="0" y="T1"/>
                              </a:cxn>
                              <a:cxn ang="0">
                                <a:pos x="0" y="T3"/>
                              </a:cxn>
                              <a:cxn ang="0">
                                <a:pos x="0" y="T5"/>
                              </a:cxn>
                            </a:cxnLst>
                            <a:rect l="0" t="0" r="r" b="b"/>
                            <a:pathLst>
                              <a:path h="332">
                                <a:moveTo>
                                  <a:pt x="0" y="0"/>
                                </a:moveTo>
                                <a:lnTo>
                                  <a:pt x="0" y="332"/>
                                </a:lnTo>
                                <a:lnTo>
                                  <a:pt x="0" y="0"/>
                                </a:lnTo>
                              </a:path>
                            </a:pathLst>
                          </a:custGeom>
                          <a:solidFill>
                            <a:srgbClr val="003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F8AFA" id="Group 1508" o:spid="_x0000_s1026" style="position:absolute;margin-left:178.95pt;margin-top:21.6pt;width:.1pt;height:16.6pt;z-index:-251657216;mso-position-horizontal-relative:page" coordorigin="3579,432" coordsize="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">
                <v:shape id="Freeform 1509" o:spid="_x0000_s1027" style="position:absolute;left:3579;top:432;width:2;height:332;visibility:visible;mso-wrap-style:square;v-text-anchor:top" coordsize="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" path="m,l,332,,e" fillcolor="#003d7d" stroked="f">
                  <v:path arrowok="t" o:connecttype="custom" o:connectlocs="0,432;0,764;0,432" o:connectangles="0,0,0"/>
                </v:shape>
                <w10:wrap anchorx="page"/>
              </v:group>
            </w:pict>
          </mc:Fallback>
        </mc:AlternateContent>
      </w:r>
      <w:r w:rsidRPr="00430317">
        <w:rPr>
          <w:noProof/>
          <w:lang w:eastAsia="en-NZ"/>
        </w:rPr>
        <mc:AlternateContent>
          <mc:Choice Requires="wpg">
            <w:drawing>
              <wp:anchor distT="0" distB="0" distL="114300" distR="114300" simplePos="0" relativeHeight="251660288" behindDoc="1" locked="0" layoutInCell="1" allowOverlap="1" wp14:anchorId="041E359E" wp14:editId="041E359F">
                <wp:simplePos x="0" y="0"/>
                <wp:positionH relativeFrom="page">
                  <wp:posOffset>4169410</wp:posOffset>
                </wp:positionH>
                <wp:positionV relativeFrom="paragraph">
                  <wp:posOffset>274320</wp:posOffset>
                </wp:positionV>
                <wp:extent cx="1270" cy="210820"/>
                <wp:effectExtent l="0" t="0" r="10795" b="635"/>
                <wp:wrapNone/>
                <wp:docPr id="212" name="Group 1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10820"/>
                          <a:chOff x="6566" y="432"/>
                          <a:chExt cx="2" cy="332"/>
                        </a:xfrm>
                      </wpg:grpSpPr>
                      <wps:wsp>
                        <wps:cNvPr id="213" name="Freeform 1507"/>
                        <wps:cNvSpPr>
                          <a:spLocks/>
                        </wps:cNvSpPr>
                        <wps:spPr bwMode="auto">
                          <a:xfrm>
                            <a:off x="6566" y="432"/>
                            <a:ext cx="2" cy="332"/>
                          </a:xfrm>
                          <a:custGeom>
                            <a:avLst/>
                            <a:gdLst>
                              <a:gd name="T0" fmla="+- 0 432 432"/>
                              <a:gd name="T1" fmla="*/ 432 h 332"/>
                              <a:gd name="T2" fmla="+- 0 764 432"/>
                              <a:gd name="T3" fmla="*/ 764 h 332"/>
                              <a:gd name="T4" fmla="+- 0 432 432"/>
                              <a:gd name="T5" fmla="*/ 432 h 332"/>
                            </a:gdLst>
                            <a:ahLst/>
                            <a:cxnLst>
                              <a:cxn ang="0">
                                <a:pos x="0" y="T1"/>
                              </a:cxn>
                              <a:cxn ang="0">
                                <a:pos x="0" y="T3"/>
                              </a:cxn>
                              <a:cxn ang="0">
                                <a:pos x="0" y="T5"/>
                              </a:cxn>
                            </a:cxnLst>
                            <a:rect l="0" t="0" r="r" b="b"/>
                            <a:pathLst>
                              <a:path h="332">
                                <a:moveTo>
                                  <a:pt x="0" y="0"/>
                                </a:moveTo>
                                <a:lnTo>
                                  <a:pt x="0" y="332"/>
                                </a:lnTo>
                                <a:lnTo>
                                  <a:pt x="0" y="0"/>
                                </a:lnTo>
                              </a:path>
                            </a:pathLst>
                          </a:custGeom>
                          <a:solidFill>
                            <a:srgbClr val="003D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72DC6" id="Group 1506" o:spid="_x0000_s1026" style="position:absolute;margin-left:328.3pt;margin-top:21.6pt;width:.1pt;height:16.6pt;z-index:-251656192;mso-position-horizontal-relative:page" coordorigin="6566,432" coordsize="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">
                <v:shape id="Freeform 1507" o:spid="_x0000_s1027" style="position:absolute;left:6566;top:432;width:2;height:332;visibility:visible;mso-wrap-style:square;v-text-anchor:top" coordsize="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" path="m,l,332,,e" fillcolor="#003d7d" stroked="f">
                  <v:path arrowok="t" o:connecttype="custom" o:connectlocs="0,432;0,764;0,432" o:connectangles="0,0,0"/>
                </v:shape>
                <w10:wrap anchorx="page"/>
              </v:group>
            </w:pict>
          </mc:Fallback>
        </mc:AlternateContent>
      </w:r>
      <w:r>
        <w:t xml:space="preserve">MAV </w:t>
      </w:r>
      <w:r w:rsidRPr="00430317">
        <w:t>is exceeded for no more than 5 percent of the time)</w:t>
      </w:r>
      <w:bookmarkEnd w:id="274"/>
      <w:bookmarkEnd w:id="275"/>
      <w:bookmarkEnd w:id="276"/>
      <w:bookmarkEnd w:id="277"/>
    </w:p>
    <w:tbl>
      <w:tblPr>
        <w:tblStyle w:val="TableGrid"/>
        <w:tblW w:w="808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67"/>
        <w:gridCol w:w="1488"/>
        <w:gridCol w:w="497"/>
        <w:gridCol w:w="1559"/>
        <w:gridCol w:w="425"/>
        <w:gridCol w:w="1488"/>
        <w:gridCol w:w="639"/>
        <w:gridCol w:w="1418"/>
      </w:tblGrid>
      <w:tr w:rsidR="003741ED" w:rsidRPr="002B1E0A" w14:paraId="041E33D2" w14:textId="77777777" w:rsidTr="002B1E0A">
        <w:trPr>
          <w:cantSplit/>
          <w:tblHeader/>
        </w:trPr>
        <w:tc>
          <w:tcPr>
            <w:tcW w:w="567" w:type="dxa"/>
            <w:tcBorders>
              <w:top w:val="nil"/>
              <w:bottom w:val="nil"/>
            </w:tcBorders>
            <w:shd w:val="clear" w:color="auto" w:fill="D9D9D9" w:themeFill="background1" w:themeFillShade="D9"/>
          </w:tcPr>
          <w:p w14:paraId="041E33CA" w14:textId="77777777" w:rsidR="003741ED" w:rsidRPr="002B1E0A" w:rsidRDefault="003741ED" w:rsidP="00F727E9">
            <w:pPr>
              <w:pStyle w:val="TableText"/>
              <w:spacing w:before="30" w:after="30"/>
              <w:jc w:val="center"/>
              <w:rPr>
                <w:b/>
                <w:i/>
              </w:rPr>
            </w:pPr>
            <w:r w:rsidRPr="002B1E0A">
              <w:rPr>
                <w:b/>
                <w:i/>
              </w:rPr>
              <w:t>e</w:t>
            </w:r>
          </w:p>
        </w:tc>
        <w:tc>
          <w:tcPr>
            <w:tcW w:w="1488" w:type="dxa"/>
            <w:tcBorders>
              <w:top w:val="nil"/>
              <w:bottom w:val="nil"/>
              <w:right w:val="single" w:sz="4" w:space="0" w:color="A6A6A6" w:themeColor="background1" w:themeShade="A6"/>
            </w:tcBorders>
            <w:shd w:val="clear" w:color="auto" w:fill="D9D9D9" w:themeFill="background1" w:themeFillShade="D9"/>
          </w:tcPr>
          <w:p w14:paraId="041E33CB" w14:textId="77777777" w:rsidR="003741ED" w:rsidRPr="002B1E0A" w:rsidRDefault="003741ED" w:rsidP="00F727E9">
            <w:pPr>
              <w:pStyle w:val="TableText"/>
              <w:spacing w:before="30" w:after="30"/>
              <w:jc w:val="center"/>
              <w:rPr>
                <w:b/>
                <w:i/>
              </w:rPr>
            </w:pPr>
            <w:r w:rsidRPr="002B1E0A">
              <w:rPr>
                <w:b/>
                <w:i/>
              </w:rPr>
              <w:t>n</w:t>
            </w:r>
          </w:p>
        </w:tc>
        <w:tc>
          <w:tcPr>
            <w:tcW w:w="497" w:type="dxa"/>
            <w:tcBorders>
              <w:top w:val="nil"/>
              <w:left w:val="single" w:sz="4" w:space="0" w:color="A6A6A6" w:themeColor="background1" w:themeShade="A6"/>
              <w:bottom w:val="nil"/>
            </w:tcBorders>
            <w:shd w:val="clear" w:color="auto" w:fill="D9D9D9" w:themeFill="background1" w:themeFillShade="D9"/>
          </w:tcPr>
          <w:p w14:paraId="041E33CC" w14:textId="77777777" w:rsidR="003741ED" w:rsidRPr="002B1E0A" w:rsidRDefault="003741ED" w:rsidP="00F727E9">
            <w:pPr>
              <w:pStyle w:val="TableText"/>
              <w:spacing w:before="30" w:after="30"/>
              <w:jc w:val="center"/>
              <w:rPr>
                <w:b/>
                <w:i/>
              </w:rPr>
            </w:pPr>
            <w:r w:rsidRPr="002B1E0A">
              <w:rPr>
                <w:b/>
                <w:i/>
              </w:rPr>
              <w:t>e</w:t>
            </w:r>
          </w:p>
        </w:tc>
        <w:tc>
          <w:tcPr>
            <w:tcW w:w="1559" w:type="dxa"/>
            <w:tcBorders>
              <w:top w:val="nil"/>
              <w:bottom w:val="nil"/>
              <w:right w:val="single" w:sz="4" w:space="0" w:color="A6A6A6" w:themeColor="background1" w:themeShade="A6"/>
            </w:tcBorders>
            <w:shd w:val="clear" w:color="auto" w:fill="D9D9D9" w:themeFill="background1" w:themeFillShade="D9"/>
          </w:tcPr>
          <w:p w14:paraId="041E33CD" w14:textId="77777777" w:rsidR="003741ED" w:rsidRPr="002B1E0A" w:rsidRDefault="003741ED" w:rsidP="00F727E9">
            <w:pPr>
              <w:pStyle w:val="TableText"/>
              <w:spacing w:before="30" w:after="30"/>
              <w:jc w:val="center"/>
              <w:rPr>
                <w:b/>
                <w:i/>
              </w:rPr>
            </w:pPr>
            <w:r w:rsidRPr="002B1E0A">
              <w:rPr>
                <w:b/>
                <w:i/>
              </w:rPr>
              <w:t>n</w:t>
            </w:r>
          </w:p>
        </w:tc>
        <w:tc>
          <w:tcPr>
            <w:tcW w:w="425" w:type="dxa"/>
            <w:tcBorders>
              <w:top w:val="nil"/>
              <w:left w:val="single" w:sz="4" w:space="0" w:color="A6A6A6" w:themeColor="background1" w:themeShade="A6"/>
              <w:bottom w:val="nil"/>
            </w:tcBorders>
            <w:shd w:val="clear" w:color="auto" w:fill="D9D9D9" w:themeFill="background1" w:themeFillShade="D9"/>
          </w:tcPr>
          <w:p w14:paraId="041E33CE" w14:textId="77777777" w:rsidR="003741ED" w:rsidRPr="002B1E0A" w:rsidRDefault="003741ED" w:rsidP="00F727E9">
            <w:pPr>
              <w:pStyle w:val="TableText"/>
              <w:spacing w:before="30" w:after="30"/>
              <w:jc w:val="center"/>
              <w:rPr>
                <w:b/>
                <w:i/>
              </w:rPr>
            </w:pPr>
            <w:r w:rsidRPr="002B1E0A">
              <w:rPr>
                <w:b/>
                <w:i/>
              </w:rPr>
              <w:t>e</w:t>
            </w:r>
          </w:p>
        </w:tc>
        <w:tc>
          <w:tcPr>
            <w:tcW w:w="1488" w:type="dxa"/>
            <w:tcBorders>
              <w:top w:val="nil"/>
              <w:bottom w:val="nil"/>
              <w:right w:val="single" w:sz="4" w:space="0" w:color="A6A6A6" w:themeColor="background1" w:themeShade="A6"/>
            </w:tcBorders>
            <w:shd w:val="clear" w:color="auto" w:fill="D9D9D9" w:themeFill="background1" w:themeFillShade="D9"/>
          </w:tcPr>
          <w:p w14:paraId="041E33CF" w14:textId="77777777" w:rsidR="003741ED" w:rsidRPr="002B1E0A" w:rsidRDefault="003741ED" w:rsidP="00F727E9">
            <w:pPr>
              <w:pStyle w:val="TableText"/>
              <w:spacing w:before="30" w:after="30"/>
              <w:jc w:val="center"/>
              <w:rPr>
                <w:b/>
                <w:i/>
              </w:rPr>
            </w:pPr>
            <w:r w:rsidRPr="002B1E0A">
              <w:rPr>
                <w:b/>
                <w:i/>
              </w:rPr>
              <w:t>n</w:t>
            </w:r>
          </w:p>
        </w:tc>
        <w:tc>
          <w:tcPr>
            <w:tcW w:w="639" w:type="dxa"/>
            <w:tcBorders>
              <w:top w:val="nil"/>
              <w:left w:val="single" w:sz="4" w:space="0" w:color="A6A6A6" w:themeColor="background1" w:themeShade="A6"/>
              <w:bottom w:val="nil"/>
            </w:tcBorders>
            <w:shd w:val="clear" w:color="auto" w:fill="D9D9D9" w:themeFill="background1" w:themeFillShade="D9"/>
          </w:tcPr>
          <w:p w14:paraId="041E33D0" w14:textId="77777777" w:rsidR="003741ED" w:rsidRPr="002B1E0A" w:rsidRDefault="003741ED" w:rsidP="00F727E9">
            <w:pPr>
              <w:pStyle w:val="TableText"/>
              <w:spacing w:before="30" w:after="30"/>
              <w:jc w:val="center"/>
              <w:rPr>
                <w:b/>
                <w:i/>
              </w:rPr>
            </w:pPr>
            <w:r w:rsidRPr="002B1E0A">
              <w:rPr>
                <w:b/>
                <w:i/>
              </w:rPr>
              <w:t>e</w:t>
            </w:r>
          </w:p>
        </w:tc>
        <w:tc>
          <w:tcPr>
            <w:tcW w:w="1418" w:type="dxa"/>
            <w:tcBorders>
              <w:top w:val="nil"/>
              <w:bottom w:val="nil"/>
            </w:tcBorders>
            <w:shd w:val="clear" w:color="auto" w:fill="D9D9D9" w:themeFill="background1" w:themeFillShade="D9"/>
          </w:tcPr>
          <w:p w14:paraId="041E33D1" w14:textId="77777777" w:rsidR="003741ED" w:rsidRPr="002B1E0A" w:rsidRDefault="003741ED" w:rsidP="00F727E9">
            <w:pPr>
              <w:pStyle w:val="TableText"/>
              <w:spacing w:before="30" w:after="30"/>
              <w:jc w:val="center"/>
              <w:rPr>
                <w:b/>
                <w:i/>
              </w:rPr>
            </w:pPr>
            <w:r w:rsidRPr="002B1E0A">
              <w:rPr>
                <w:b/>
                <w:i/>
              </w:rPr>
              <w:t>n</w:t>
            </w:r>
          </w:p>
        </w:tc>
      </w:tr>
      <w:tr w:rsidR="003741ED" w:rsidRPr="00430317" w14:paraId="041E33DB" w14:textId="77777777" w:rsidTr="002B1E0A">
        <w:trPr>
          <w:cantSplit/>
        </w:trPr>
        <w:tc>
          <w:tcPr>
            <w:tcW w:w="567" w:type="dxa"/>
            <w:tcBorders>
              <w:top w:val="nil"/>
            </w:tcBorders>
            <w:shd w:val="clear" w:color="auto" w:fill="auto"/>
          </w:tcPr>
          <w:p w14:paraId="041E33D3" w14:textId="77777777" w:rsidR="003741ED" w:rsidRPr="00430317" w:rsidRDefault="003741ED" w:rsidP="00F727E9">
            <w:pPr>
              <w:pStyle w:val="TableText"/>
              <w:spacing w:before="30" w:after="30"/>
              <w:jc w:val="center"/>
            </w:pPr>
            <w:r w:rsidRPr="00430317">
              <w:t>0</w:t>
            </w:r>
          </w:p>
        </w:tc>
        <w:tc>
          <w:tcPr>
            <w:tcW w:w="1488" w:type="dxa"/>
            <w:tcBorders>
              <w:top w:val="nil"/>
              <w:right w:val="single" w:sz="4" w:space="0" w:color="A6A6A6" w:themeColor="background1" w:themeShade="A6"/>
            </w:tcBorders>
            <w:shd w:val="clear" w:color="auto" w:fill="auto"/>
          </w:tcPr>
          <w:p w14:paraId="041E33D4" w14:textId="77777777" w:rsidR="003741ED" w:rsidRPr="00430317" w:rsidRDefault="003741ED" w:rsidP="00F727E9">
            <w:pPr>
              <w:pStyle w:val="TableText"/>
              <w:spacing w:before="30" w:after="30"/>
              <w:jc w:val="center"/>
            </w:pPr>
            <w:r w:rsidRPr="00430317">
              <w:t>38–76</w:t>
            </w:r>
          </w:p>
        </w:tc>
        <w:tc>
          <w:tcPr>
            <w:tcW w:w="497" w:type="dxa"/>
            <w:tcBorders>
              <w:top w:val="nil"/>
              <w:left w:val="single" w:sz="4" w:space="0" w:color="A6A6A6" w:themeColor="background1" w:themeShade="A6"/>
            </w:tcBorders>
            <w:shd w:val="clear" w:color="auto" w:fill="auto"/>
          </w:tcPr>
          <w:p w14:paraId="041E33D5" w14:textId="77777777" w:rsidR="003741ED" w:rsidRPr="00430317" w:rsidRDefault="003741ED" w:rsidP="00F727E9">
            <w:pPr>
              <w:pStyle w:val="TableText"/>
              <w:spacing w:before="30" w:after="30"/>
              <w:jc w:val="center"/>
            </w:pPr>
            <w:r w:rsidRPr="00430317">
              <w:t>40</w:t>
            </w:r>
          </w:p>
        </w:tc>
        <w:tc>
          <w:tcPr>
            <w:tcW w:w="1559" w:type="dxa"/>
            <w:tcBorders>
              <w:top w:val="nil"/>
              <w:right w:val="single" w:sz="4" w:space="0" w:color="A6A6A6" w:themeColor="background1" w:themeShade="A6"/>
            </w:tcBorders>
            <w:shd w:val="clear" w:color="auto" w:fill="auto"/>
          </w:tcPr>
          <w:p w14:paraId="041E33D6" w14:textId="77777777" w:rsidR="003741ED" w:rsidRPr="00430317" w:rsidRDefault="003741ED" w:rsidP="00F727E9">
            <w:pPr>
              <w:pStyle w:val="TableText"/>
              <w:spacing w:before="30" w:after="30"/>
              <w:jc w:val="center"/>
            </w:pPr>
            <w:r w:rsidRPr="00430317">
              <w:t>1025–1046</w:t>
            </w:r>
          </w:p>
        </w:tc>
        <w:tc>
          <w:tcPr>
            <w:tcW w:w="425" w:type="dxa"/>
            <w:tcBorders>
              <w:top w:val="nil"/>
              <w:left w:val="single" w:sz="4" w:space="0" w:color="A6A6A6" w:themeColor="background1" w:themeShade="A6"/>
            </w:tcBorders>
            <w:shd w:val="clear" w:color="auto" w:fill="auto"/>
          </w:tcPr>
          <w:p w14:paraId="041E33D7" w14:textId="77777777" w:rsidR="003741ED" w:rsidRPr="00430317" w:rsidRDefault="003741ED" w:rsidP="00F727E9">
            <w:pPr>
              <w:pStyle w:val="TableText"/>
              <w:spacing w:before="30" w:after="30"/>
              <w:jc w:val="center"/>
            </w:pPr>
            <w:r w:rsidRPr="00430317">
              <w:t>80</w:t>
            </w:r>
          </w:p>
        </w:tc>
        <w:tc>
          <w:tcPr>
            <w:tcW w:w="1488" w:type="dxa"/>
            <w:tcBorders>
              <w:top w:val="nil"/>
              <w:right w:val="single" w:sz="4" w:space="0" w:color="A6A6A6" w:themeColor="background1" w:themeShade="A6"/>
            </w:tcBorders>
            <w:shd w:val="clear" w:color="auto" w:fill="auto"/>
          </w:tcPr>
          <w:p w14:paraId="041E33D8" w14:textId="77777777" w:rsidR="003741ED" w:rsidRPr="00430317" w:rsidRDefault="003741ED" w:rsidP="00F727E9">
            <w:pPr>
              <w:pStyle w:val="TableText"/>
              <w:spacing w:before="30" w:after="30"/>
              <w:jc w:val="center"/>
            </w:pPr>
            <w:r w:rsidRPr="00430317">
              <w:t>1908–1929</w:t>
            </w:r>
          </w:p>
        </w:tc>
        <w:tc>
          <w:tcPr>
            <w:tcW w:w="639" w:type="dxa"/>
            <w:tcBorders>
              <w:top w:val="nil"/>
              <w:left w:val="single" w:sz="4" w:space="0" w:color="A6A6A6" w:themeColor="background1" w:themeShade="A6"/>
            </w:tcBorders>
            <w:shd w:val="clear" w:color="auto" w:fill="auto"/>
          </w:tcPr>
          <w:p w14:paraId="041E33D9" w14:textId="77777777" w:rsidR="003741ED" w:rsidRPr="00430317" w:rsidRDefault="003741ED" w:rsidP="00F727E9">
            <w:pPr>
              <w:pStyle w:val="TableText"/>
              <w:spacing w:before="30" w:after="30"/>
              <w:jc w:val="center"/>
            </w:pPr>
            <w:r w:rsidRPr="00430317">
              <w:t>120</w:t>
            </w:r>
          </w:p>
        </w:tc>
        <w:tc>
          <w:tcPr>
            <w:tcW w:w="1418" w:type="dxa"/>
            <w:tcBorders>
              <w:top w:val="nil"/>
            </w:tcBorders>
            <w:shd w:val="clear" w:color="auto" w:fill="auto"/>
          </w:tcPr>
          <w:p w14:paraId="041E33DA" w14:textId="77777777" w:rsidR="003741ED" w:rsidRPr="00430317" w:rsidRDefault="003741ED" w:rsidP="00F727E9">
            <w:pPr>
              <w:pStyle w:val="TableText"/>
              <w:spacing w:before="30" w:after="30"/>
              <w:jc w:val="center"/>
            </w:pPr>
            <w:r w:rsidRPr="00430317">
              <w:t>2773–2793</w:t>
            </w:r>
          </w:p>
        </w:tc>
      </w:tr>
      <w:tr w:rsidR="003741ED" w:rsidRPr="00430317" w14:paraId="041E33E4" w14:textId="77777777" w:rsidTr="002B1E0A">
        <w:trPr>
          <w:cantSplit/>
        </w:trPr>
        <w:tc>
          <w:tcPr>
            <w:tcW w:w="567" w:type="dxa"/>
            <w:shd w:val="clear" w:color="auto" w:fill="auto"/>
          </w:tcPr>
          <w:p w14:paraId="041E33DC" w14:textId="77777777" w:rsidR="003741ED" w:rsidRPr="00430317" w:rsidRDefault="003741ED" w:rsidP="00F727E9">
            <w:pPr>
              <w:pStyle w:val="TableText"/>
              <w:spacing w:before="30" w:after="30"/>
              <w:jc w:val="center"/>
            </w:pPr>
            <w:r w:rsidRPr="00430317">
              <w:t>1</w:t>
            </w:r>
          </w:p>
        </w:tc>
        <w:tc>
          <w:tcPr>
            <w:tcW w:w="1488" w:type="dxa"/>
            <w:tcBorders>
              <w:right w:val="single" w:sz="4" w:space="0" w:color="A6A6A6" w:themeColor="background1" w:themeShade="A6"/>
            </w:tcBorders>
            <w:shd w:val="clear" w:color="auto" w:fill="auto"/>
          </w:tcPr>
          <w:p w14:paraId="041E33DD" w14:textId="77777777" w:rsidR="003741ED" w:rsidRPr="00430317" w:rsidRDefault="003741ED" w:rsidP="00F727E9">
            <w:pPr>
              <w:pStyle w:val="TableText"/>
              <w:spacing w:before="30" w:after="30"/>
              <w:jc w:val="center"/>
            </w:pPr>
            <w:r w:rsidRPr="00430317">
              <w:rPr>
                <w:w w:val="101"/>
              </w:rPr>
              <w:t>77–108</w:t>
            </w:r>
          </w:p>
        </w:tc>
        <w:tc>
          <w:tcPr>
            <w:tcW w:w="497" w:type="dxa"/>
            <w:tcBorders>
              <w:left w:val="single" w:sz="4" w:space="0" w:color="A6A6A6" w:themeColor="background1" w:themeShade="A6"/>
            </w:tcBorders>
            <w:shd w:val="clear" w:color="auto" w:fill="auto"/>
          </w:tcPr>
          <w:p w14:paraId="041E33DE" w14:textId="77777777" w:rsidR="003741ED" w:rsidRPr="00430317" w:rsidRDefault="003741ED" w:rsidP="00F727E9">
            <w:pPr>
              <w:pStyle w:val="TableText"/>
              <w:spacing w:before="30" w:after="30"/>
              <w:jc w:val="center"/>
            </w:pPr>
            <w:r w:rsidRPr="00430317">
              <w:t>41</w:t>
            </w:r>
          </w:p>
        </w:tc>
        <w:tc>
          <w:tcPr>
            <w:tcW w:w="1559" w:type="dxa"/>
            <w:tcBorders>
              <w:right w:val="single" w:sz="4" w:space="0" w:color="A6A6A6" w:themeColor="background1" w:themeShade="A6"/>
            </w:tcBorders>
            <w:shd w:val="clear" w:color="auto" w:fill="auto"/>
          </w:tcPr>
          <w:p w14:paraId="041E33DF" w14:textId="77777777" w:rsidR="003741ED" w:rsidRPr="00430317" w:rsidRDefault="003741ED" w:rsidP="00F727E9">
            <w:pPr>
              <w:pStyle w:val="TableText"/>
              <w:spacing w:before="30" w:after="30"/>
              <w:jc w:val="center"/>
            </w:pPr>
            <w:r w:rsidRPr="00430317">
              <w:rPr>
                <w:w w:val="101"/>
              </w:rPr>
              <w:t>1047–1069</w:t>
            </w:r>
          </w:p>
        </w:tc>
        <w:tc>
          <w:tcPr>
            <w:tcW w:w="425" w:type="dxa"/>
            <w:tcBorders>
              <w:left w:val="single" w:sz="4" w:space="0" w:color="A6A6A6" w:themeColor="background1" w:themeShade="A6"/>
            </w:tcBorders>
            <w:shd w:val="clear" w:color="auto" w:fill="auto"/>
          </w:tcPr>
          <w:p w14:paraId="041E33E0" w14:textId="77777777" w:rsidR="003741ED" w:rsidRPr="00430317" w:rsidRDefault="003741ED" w:rsidP="00F727E9">
            <w:pPr>
              <w:pStyle w:val="TableText"/>
              <w:spacing w:before="30" w:after="30"/>
              <w:jc w:val="center"/>
            </w:pPr>
            <w:r w:rsidRPr="00430317">
              <w:t>81</w:t>
            </w:r>
          </w:p>
        </w:tc>
        <w:tc>
          <w:tcPr>
            <w:tcW w:w="1488" w:type="dxa"/>
            <w:tcBorders>
              <w:right w:val="single" w:sz="4" w:space="0" w:color="A6A6A6" w:themeColor="background1" w:themeShade="A6"/>
            </w:tcBorders>
            <w:shd w:val="clear" w:color="auto" w:fill="auto"/>
          </w:tcPr>
          <w:p w14:paraId="041E33E1" w14:textId="77777777" w:rsidR="003741ED" w:rsidRPr="00430317" w:rsidRDefault="003741ED" w:rsidP="00F727E9">
            <w:pPr>
              <w:pStyle w:val="TableText"/>
              <w:spacing w:before="30" w:after="30"/>
              <w:jc w:val="center"/>
            </w:pPr>
            <w:r w:rsidRPr="00430317">
              <w:rPr>
                <w:w w:val="101"/>
              </w:rPr>
              <w:t>1930–1951</w:t>
            </w:r>
          </w:p>
        </w:tc>
        <w:tc>
          <w:tcPr>
            <w:tcW w:w="639" w:type="dxa"/>
            <w:tcBorders>
              <w:left w:val="single" w:sz="4" w:space="0" w:color="A6A6A6" w:themeColor="background1" w:themeShade="A6"/>
            </w:tcBorders>
            <w:shd w:val="clear" w:color="auto" w:fill="auto"/>
          </w:tcPr>
          <w:p w14:paraId="041E33E2" w14:textId="77777777" w:rsidR="003741ED" w:rsidRPr="00430317" w:rsidRDefault="003741ED" w:rsidP="00F727E9">
            <w:pPr>
              <w:pStyle w:val="TableText"/>
              <w:spacing w:before="30" w:after="30"/>
              <w:jc w:val="center"/>
            </w:pPr>
            <w:r w:rsidRPr="00430317">
              <w:t>121</w:t>
            </w:r>
          </w:p>
        </w:tc>
        <w:tc>
          <w:tcPr>
            <w:tcW w:w="1418" w:type="dxa"/>
            <w:shd w:val="clear" w:color="auto" w:fill="auto"/>
          </w:tcPr>
          <w:p w14:paraId="041E33E3" w14:textId="77777777" w:rsidR="003741ED" w:rsidRPr="00430317" w:rsidRDefault="003741ED" w:rsidP="00F727E9">
            <w:pPr>
              <w:pStyle w:val="TableText"/>
              <w:spacing w:before="30" w:after="30"/>
              <w:jc w:val="center"/>
            </w:pPr>
            <w:r w:rsidRPr="00430317">
              <w:rPr>
                <w:w w:val="101"/>
              </w:rPr>
              <w:t>2794–2815</w:t>
            </w:r>
          </w:p>
        </w:tc>
      </w:tr>
      <w:tr w:rsidR="003741ED" w:rsidRPr="00430317" w14:paraId="041E33ED" w14:textId="77777777" w:rsidTr="002B1E0A">
        <w:trPr>
          <w:cantSplit/>
        </w:trPr>
        <w:tc>
          <w:tcPr>
            <w:tcW w:w="567" w:type="dxa"/>
            <w:shd w:val="clear" w:color="auto" w:fill="auto"/>
          </w:tcPr>
          <w:p w14:paraId="041E33E5" w14:textId="77777777" w:rsidR="003741ED" w:rsidRPr="00430317" w:rsidRDefault="003741ED" w:rsidP="00F727E9">
            <w:pPr>
              <w:pStyle w:val="TableText"/>
              <w:spacing w:before="30" w:after="30"/>
              <w:jc w:val="center"/>
            </w:pPr>
            <w:r w:rsidRPr="00430317">
              <w:t>2</w:t>
            </w:r>
          </w:p>
        </w:tc>
        <w:tc>
          <w:tcPr>
            <w:tcW w:w="1488" w:type="dxa"/>
            <w:tcBorders>
              <w:right w:val="single" w:sz="4" w:space="0" w:color="A6A6A6" w:themeColor="background1" w:themeShade="A6"/>
            </w:tcBorders>
            <w:shd w:val="clear" w:color="auto" w:fill="auto"/>
          </w:tcPr>
          <w:p w14:paraId="041E33E6" w14:textId="77777777" w:rsidR="003741ED" w:rsidRPr="00430317" w:rsidRDefault="003741ED" w:rsidP="00F727E9">
            <w:pPr>
              <w:pStyle w:val="TableText"/>
              <w:spacing w:before="30" w:after="30"/>
              <w:jc w:val="center"/>
            </w:pPr>
            <w:r w:rsidRPr="00430317">
              <w:rPr>
                <w:w w:val="101"/>
              </w:rPr>
              <w:t>109–138</w:t>
            </w:r>
          </w:p>
        </w:tc>
        <w:tc>
          <w:tcPr>
            <w:tcW w:w="497" w:type="dxa"/>
            <w:tcBorders>
              <w:left w:val="single" w:sz="4" w:space="0" w:color="A6A6A6" w:themeColor="background1" w:themeShade="A6"/>
            </w:tcBorders>
            <w:shd w:val="clear" w:color="auto" w:fill="auto"/>
          </w:tcPr>
          <w:p w14:paraId="041E33E7" w14:textId="77777777" w:rsidR="003741ED" w:rsidRPr="00430317" w:rsidRDefault="003741ED" w:rsidP="00F727E9">
            <w:pPr>
              <w:pStyle w:val="TableText"/>
              <w:spacing w:before="30" w:after="30"/>
              <w:jc w:val="center"/>
            </w:pPr>
            <w:r w:rsidRPr="00430317">
              <w:t>42</w:t>
            </w:r>
          </w:p>
        </w:tc>
        <w:tc>
          <w:tcPr>
            <w:tcW w:w="1559" w:type="dxa"/>
            <w:tcBorders>
              <w:right w:val="single" w:sz="4" w:space="0" w:color="A6A6A6" w:themeColor="background1" w:themeShade="A6"/>
            </w:tcBorders>
            <w:shd w:val="clear" w:color="auto" w:fill="auto"/>
          </w:tcPr>
          <w:p w14:paraId="041E33E8" w14:textId="77777777" w:rsidR="003741ED" w:rsidRPr="00430317" w:rsidRDefault="003741ED" w:rsidP="00F727E9">
            <w:pPr>
              <w:pStyle w:val="TableText"/>
              <w:spacing w:before="30" w:after="30"/>
              <w:jc w:val="center"/>
            </w:pPr>
            <w:r w:rsidRPr="00430317">
              <w:rPr>
                <w:w w:val="101"/>
              </w:rPr>
              <w:t>1070–1091</w:t>
            </w:r>
          </w:p>
        </w:tc>
        <w:tc>
          <w:tcPr>
            <w:tcW w:w="425" w:type="dxa"/>
            <w:tcBorders>
              <w:left w:val="single" w:sz="4" w:space="0" w:color="A6A6A6" w:themeColor="background1" w:themeShade="A6"/>
            </w:tcBorders>
            <w:shd w:val="clear" w:color="auto" w:fill="auto"/>
          </w:tcPr>
          <w:p w14:paraId="041E33E9" w14:textId="77777777" w:rsidR="003741ED" w:rsidRPr="00430317" w:rsidRDefault="003741ED" w:rsidP="00F727E9">
            <w:pPr>
              <w:pStyle w:val="TableText"/>
              <w:spacing w:before="30" w:after="30"/>
              <w:jc w:val="center"/>
            </w:pPr>
            <w:r w:rsidRPr="00430317">
              <w:t>82</w:t>
            </w:r>
          </w:p>
        </w:tc>
        <w:tc>
          <w:tcPr>
            <w:tcW w:w="1488" w:type="dxa"/>
            <w:tcBorders>
              <w:right w:val="single" w:sz="4" w:space="0" w:color="A6A6A6" w:themeColor="background1" w:themeShade="A6"/>
            </w:tcBorders>
            <w:shd w:val="clear" w:color="auto" w:fill="auto"/>
          </w:tcPr>
          <w:p w14:paraId="041E33EA" w14:textId="77777777" w:rsidR="003741ED" w:rsidRPr="00430317" w:rsidRDefault="003741ED" w:rsidP="00F727E9">
            <w:pPr>
              <w:pStyle w:val="TableText"/>
              <w:spacing w:before="30" w:after="30"/>
              <w:jc w:val="center"/>
            </w:pPr>
            <w:r w:rsidRPr="00430317">
              <w:rPr>
                <w:w w:val="101"/>
              </w:rPr>
              <w:t>1952–1973</w:t>
            </w:r>
          </w:p>
        </w:tc>
        <w:tc>
          <w:tcPr>
            <w:tcW w:w="639" w:type="dxa"/>
            <w:tcBorders>
              <w:left w:val="single" w:sz="4" w:space="0" w:color="A6A6A6" w:themeColor="background1" w:themeShade="A6"/>
            </w:tcBorders>
            <w:shd w:val="clear" w:color="auto" w:fill="auto"/>
          </w:tcPr>
          <w:p w14:paraId="041E33EB" w14:textId="77777777" w:rsidR="003741ED" w:rsidRPr="00430317" w:rsidRDefault="003741ED" w:rsidP="00F727E9">
            <w:pPr>
              <w:pStyle w:val="TableText"/>
              <w:spacing w:before="30" w:after="30"/>
              <w:jc w:val="center"/>
            </w:pPr>
            <w:r w:rsidRPr="00430317">
              <w:t>122</w:t>
            </w:r>
          </w:p>
        </w:tc>
        <w:tc>
          <w:tcPr>
            <w:tcW w:w="1418" w:type="dxa"/>
            <w:shd w:val="clear" w:color="auto" w:fill="auto"/>
          </w:tcPr>
          <w:p w14:paraId="041E33EC" w14:textId="77777777" w:rsidR="003741ED" w:rsidRPr="00430317" w:rsidRDefault="003741ED" w:rsidP="00F727E9">
            <w:pPr>
              <w:pStyle w:val="TableText"/>
              <w:spacing w:before="30" w:after="30"/>
              <w:jc w:val="center"/>
            </w:pPr>
            <w:r w:rsidRPr="00430317">
              <w:rPr>
                <w:w w:val="101"/>
              </w:rPr>
              <w:t>2816–2836</w:t>
            </w:r>
          </w:p>
        </w:tc>
      </w:tr>
      <w:tr w:rsidR="003741ED" w:rsidRPr="00430317" w14:paraId="041E33F6" w14:textId="77777777" w:rsidTr="002B1E0A">
        <w:trPr>
          <w:cantSplit/>
        </w:trPr>
        <w:tc>
          <w:tcPr>
            <w:tcW w:w="567" w:type="dxa"/>
            <w:shd w:val="clear" w:color="auto" w:fill="auto"/>
          </w:tcPr>
          <w:p w14:paraId="041E33EE" w14:textId="77777777" w:rsidR="003741ED" w:rsidRPr="00430317" w:rsidRDefault="003741ED" w:rsidP="00F727E9">
            <w:pPr>
              <w:pStyle w:val="TableText"/>
              <w:spacing w:before="30" w:after="30"/>
              <w:jc w:val="center"/>
            </w:pPr>
            <w:r w:rsidRPr="00430317">
              <w:t>3</w:t>
            </w:r>
          </w:p>
        </w:tc>
        <w:tc>
          <w:tcPr>
            <w:tcW w:w="1488" w:type="dxa"/>
            <w:tcBorders>
              <w:right w:val="single" w:sz="4" w:space="0" w:color="A6A6A6" w:themeColor="background1" w:themeShade="A6"/>
            </w:tcBorders>
            <w:shd w:val="clear" w:color="auto" w:fill="auto"/>
          </w:tcPr>
          <w:p w14:paraId="041E33EF" w14:textId="77777777" w:rsidR="003741ED" w:rsidRPr="00430317" w:rsidRDefault="003741ED" w:rsidP="00F727E9">
            <w:pPr>
              <w:pStyle w:val="TableText"/>
              <w:spacing w:before="30" w:after="30"/>
              <w:jc w:val="center"/>
            </w:pPr>
            <w:r w:rsidRPr="00430317">
              <w:rPr>
                <w:w w:val="101"/>
              </w:rPr>
              <w:t>139–166</w:t>
            </w:r>
          </w:p>
        </w:tc>
        <w:tc>
          <w:tcPr>
            <w:tcW w:w="497" w:type="dxa"/>
            <w:tcBorders>
              <w:left w:val="single" w:sz="4" w:space="0" w:color="A6A6A6" w:themeColor="background1" w:themeShade="A6"/>
            </w:tcBorders>
            <w:shd w:val="clear" w:color="auto" w:fill="auto"/>
          </w:tcPr>
          <w:p w14:paraId="041E33F0" w14:textId="77777777" w:rsidR="003741ED" w:rsidRPr="00430317" w:rsidRDefault="003741ED" w:rsidP="00F727E9">
            <w:pPr>
              <w:pStyle w:val="TableText"/>
              <w:spacing w:before="30" w:after="30"/>
              <w:jc w:val="center"/>
            </w:pPr>
            <w:r w:rsidRPr="00430317">
              <w:t>43</w:t>
            </w:r>
          </w:p>
        </w:tc>
        <w:tc>
          <w:tcPr>
            <w:tcW w:w="1559" w:type="dxa"/>
            <w:tcBorders>
              <w:right w:val="single" w:sz="4" w:space="0" w:color="A6A6A6" w:themeColor="background1" w:themeShade="A6"/>
            </w:tcBorders>
            <w:shd w:val="clear" w:color="auto" w:fill="auto"/>
          </w:tcPr>
          <w:p w14:paraId="041E33F1" w14:textId="77777777" w:rsidR="003741ED" w:rsidRPr="00430317" w:rsidRDefault="003741ED" w:rsidP="00F727E9">
            <w:pPr>
              <w:pStyle w:val="TableText"/>
              <w:spacing w:before="30" w:after="30"/>
              <w:jc w:val="center"/>
            </w:pPr>
            <w:r w:rsidRPr="00430317">
              <w:rPr>
                <w:w w:val="101"/>
              </w:rPr>
              <w:t>1092–1113</w:t>
            </w:r>
          </w:p>
        </w:tc>
        <w:tc>
          <w:tcPr>
            <w:tcW w:w="425" w:type="dxa"/>
            <w:tcBorders>
              <w:left w:val="single" w:sz="4" w:space="0" w:color="A6A6A6" w:themeColor="background1" w:themeShade="A6"/>
            </w:tcBorders>
            <w:shd w:val="clear" w:color="auto" w:fill="auto"/>
          </w:tcPr>
          <w:p w14:paraId="041E33F2" w14:textId="77777777" w:rsidR="003741ED" w:rsidRPr="00430317" w:rsidRDefault="003741ED" w:rsidP="00F727E9">
            <w:pPr>
              <w:pStyle w:val="TableText"/>
              <w:spacing w:before="30" w:after="30"/>
              <w:jc w:val="center"/>
            </w:pPr>
            <w:r w:rsidRPr="00430317">
              <w:t>83</w:t>
            </w:r>
          </w:p>
        </w:tc>
        <w:tc>
          <w:tcPr>
            <w:tcW w:w="1488" w:type="dxa"/>
            <w:tcBorders>
              <w:right w:val="single" w:sz="4" w:space="0" w:color="A6A6A6" w:themeColor="background1" w:themeShade="A6"/>
            </w:tcBorders>
            <w:shd w:val="clear" w:color="auto" w:fill="auto"/>
          </w:tcPr>
          <w:p w14:paraId="041E33F3" w14:textId="77777777" w:rsidR="003741ED" w:rsidRPr="00430317" w:rsidRDefault="003741ED" w:rsidP="00F727E9">
            <w:pPr>
              <w:pStyle w:val="TableText"/>
              <w:spacing w:before="30" w:after="30"/>
              <w:jc w:val="center"/>
            </w:pPr>
            <w:r w:rsidRPr="00430317">
              <w:rPr>
                <w:w w:val="101"/>
              </w:rPr>
              <w:t>1974–1994</w:t>
            </w:r>
          </w:p>
        </w:tc>
        <w:tc>
          <w:tcPr>
            <w:tcW w:w="639" w:type="dxa"/>
            <w:tcBorders>
              <w:left w:val="single" w:sz="4" w:space="0" w:color="A6A6A6" w:themeColor="background1" w:themeShade="A6"/>
            </w:tcBorders>
            <w:shd w:val="clear" w:color="auto" w:fill="auto"/>
          </w:tcPr>
          <w:p w14:paraId="041E33F4" w14:textId="77777777" w:rsidR="003741ED" w:rsidRPr="00430317" w:rsidRDefault="003741ED" w:rsidP="00F727E9">
            <w:pPr>
              <w:pStyle w:val="TableText"/>
              <w:spacing w:before="30" w:after="30"/>
              <w:jc w:val="center"/>
            </w:pPr>
            <w:r w:rsidRPr="00430317">
              <w:t>123</w:t>
            </w:r>
          </w:p>
        </w:tc>
        <w:tc>
          <w:tcPr>
            <w:tcW w:w="1418" w:type="dxa"/>
            <w:shd w:val="clear" w:color="auto" w:fill="auto"/>
          </w:tcPr>
          <w:p w14:paraId="041E33F5" w14:textId="77777777" w:rsidR="003741ED" w:rsidRPr="00430317" w:rsidRDefault="003741ED" w:rsidP="00F727E9">
            <w:pPr>
              <w:pStyle w:val="TableText"/>
              <w:spacing w:before="30" w:after="30"/>
              <w:jc w:val="center"/>
            </w:pPr>
            <w:r w:rsidRPr="00430317">
              <w:rPr>
                <w:w w:val="101"/>
              </w:rPr>
              <w:t>2837–2858</w:t>
            </w:r>
          </w:p>
        </w:tc>
      </w:tr>
      <w:tr w:rsidR="003741ED" w:rsidRPr="00430317" w14:paraId="041E33FF" w14:textId="77777777" w:rsidTr="002B1E0A">
        <w:trPr>
          <w:cantSplit/>
        </w:trPr>
        <w:tc>
          <w:tcPr>
            <w:tcW w:w="567" w:type="dxa"/>
            <w:shd w:val="clear" w:color="auto" w:fill="auto"/>
          </w:tcPr>
          <w:p w14:paraId="041E33F7" w14:textId="77777777" w:rsidR="003741ED" w:rsidRPr="00430317" w:rsidRDefault="003741ED" w:rsidP="00F727E9">
            <w:pPr>
              <w:pStyle w:val="TableText"/>
              <w:spacing w:before="30" w:after="30"/>
              <w:jc w:val="center"/>
            </w:pPr>
            <w:r w:rsidRPr="00430317">
              <w:t>4</w:t>
            </w:r>
          </w:p>
        </w:tc>
        <w:tc>
          <w:tcPr>
            <w:tcW w:w="1488" w:type="dxa"/>
            <w:tcBorders>
              <w:right w:val="single" w:sz="4" w:space="0" w:color="A6A6A6" w:themeColor="background1" w:themeShade="A6"/>
            </w:tcBorders>
            <w:shd w:val="clear" w:color="auto" w:fill="auto"/>
          </w:tcPr>
          <w:p w14:paraId="041E33F8" w14:textId="77777777" w:rsidR="003741ED" w:rsidRPr="00430317" w:rsidRDefault="003741ED" w:rsidP="00F727E9">
            <w:pPr>
              <w:pStyle w:val="TableText"/>
              <w:spacing w:before="30" w:after="30"/>
              <w:jc w:val="center"/>
            </w:pPr>
            <w:r w:rsidRPr="00430317">
              <w:rPr>
                <w:w w:val="101"/>
              </w:rPr>
              <w:t>167–193</w:t>
            </w:r>
          </w:p>
        </w:tc>
        <w:tc>
          <w:tcPr>
            <w:tcW w:w="497" w:type="dxa"/>
            <w:tcBorders>
              <w:left w:val="single" w:sz="4" w:space="0" w:color="A6A6A6" w:themeColor="background1" w:themeShade="A6"/>
            </w:tcBorders>
            <w:shd w:val="clear" w:color="auto" w:fill="auto"/>
          </w:tcPr>
          <w:p w14:paraId="041E33F9" w14:textId="77777777" w:rsidR="003741ED" w:rsidRPr="00430317" w:rsidRDefault="003741ED" w:rsidP="00F727E9">
            <w:pPr>
              <w:pStyle w:val="TableText"/>
              <w:spacing w:before="30" w:after="30"/>
              <w:jc w:val="center"/>
            </w:pPr>
            <w:r w:rsidRPr="00430317">
              <w:t>44</w:t>
            </w:r>
          </w:p>
        </w:tc>
        <w:tc>
          <w:tcPr>
            <w:tcW w:w="1559" w:type="dxa"/>
            <w:tcBorders>
              <w:right w:val="single" w:sz="4" w:space="0" w:color="A6A6A6" w:themeColor="background1" w:themeShade="A6"/>
            </w:tcBorders>
            <w:shd w:val="clear" w:color="auto" w:fill="auto"/>
          </w:tcPr>
          <w:p w14:paraId="041E33FA" w14:textId="77777777" w:rsidR="003741ED" w:rsidRPr="00430317" w:rsidRDefault="003741ED" w:rsidP="00F727E9">
            <w:pPr>
              <w:pStyle w:val="TableText"/>
              <w:spacing w:before="30" w:after="30"/>
              <w:jc w:val="center"/>
            </w:pPr>
            <w:r w:rsidRPr="00430317">
              <w:rPr>
                <w:w w:val="101"/>
              </w:rPr>
              <w:t>1114–1136</w:t>
            </w:r>
          </w:p>
        </w:tc>
        <w:tc>
          <w:tcPr>
            <w:tcW w:w="425" w:type="dxa"/>
            <w:tcBorders>
              <w:left w:val="single" w:sz="4" w:space="0" w:color="A6A6A6" w:themeColor="background1" w:themeShade="A6"/>
            </w:tcBorders>
            <w:shd w:val="clear" w:color="auto" w:fill="auto"/>
          </w:tcPr>
          <w:p w14:paraId="041E33FB" w14:textId="77777777" w:rsidR="003741ED" w:rsidRPr="00430317" w:rsidRDefault="003741ED" w:rsidP="00F727E9">
            <w:pPr>
              <w:pStyle w:val="TableText"/>
              <w:spacing w:before="30" w:after="30"/>
              <w:jc w:val="center"/>
            </w:pPr>
            <w:r w:rsidRPr="00430317">
              <w:t>84</w:t>
            </w:r>
          </w:p>
        </w:tc>
        <w:tc>
          <w:tcPr>
            <w:tcW w:w="1488" w:type="dxa"/>
            <w:tcBorders>
              <w:right w:val="single" w:sz="4" w:space="0" w:color="A6A6A6" w:themeColor="background1" w:themeShade="A6"/>
            </w:tcBorders>
            <w:shd w:val="clear" w:color="auto" w:fill="auto"/>
          </w:tcPr>
          <w:p w14:paraId="041E33FC" w14:textId="77777777" w:rsidR="003741ED" w:rsidRPr="00430317" w:rsidRDefault="003741ED" w:rsidP="00F727E9">
            <w:pPr>
              <w:pStyle w:val="TableText"/>
              <w:spacing w:before="30" w:after="30"/>
              <w:jc w:val="center"/>
            </w:pPr>
            <w:r w:rsidRPr="00430317">
              <w:rPr>
                <w:w w:val="101"/>
              </w:rPr>
              <w:t>1995–2016</w:t>
            </w:r>
          </w:p>
        </w:tc>
        <w:tc>
          <w:tcPr>
            <w:tcW w:w="639" w:type="dxa"/>
            <w:tcBorders>
              <w:left w:val="single" w:sz="4" w:space="0" w:color="A6A6A6" w:themeColor="background1" w:themeShade="A6"/>
            </w:tcBorders>
            <w:shd w:val="clear" w:color="auto" w:fill="auto"/>
          </w:tcPr>
          <w:p w14:paraId="041E33FD" w14:textId="77777777" w:rsidR="003741ED" w:rsidRPr="00430317" w:rsidRDefault="003741ED" w:rsidP="00F727E9">
            <w:pPr>
              <w:pStyle w:val="TableText"/>
              <w:spacing w:before="30" w:after="30"/>
              <w:jc w:val="center"/>
            </w:pPr>
            <w:r w:rsidRPr="00430317">
              <w:t>124</w:t>
            </w:r>
          </w:p>
        </w:tc>
        <w:tc>
          <w:tcPr>
            <w:tcW w:w="1418" w:type="dxa"/>
            <w:shd w:val="clear" w:color="auto" w:fill="auto"/>
          </w:tcPr>
          <w:p w14:paraId="041E33FE" w14:textId="77777777" w:rsidR="003741ED" w:rsidRPr="00430317" w:rsidRDefault="003741ED" w:rsidP="00F727E9">
            <w:pPr>
              <w:pStyle w:val="TableText"/>
              <w:spacing w:before="30" w:after="30"/>
              <w:jc w:val="center"/>
            </w:pPr>
            <w:r w:rsidRPr="00430317">
              <w:rPr>
                <w:w w:val="101"/>
              </w:rPr>
              <w:t>2859–2879</w:t>
            </w:r>
          </w:p>
        </w:tc>
      </w:tr>
      <w:tr w:rsidR="003741ED" w:rsidRPr="00430317" w14:paraId="041E3408" w14:textId="77777777" w:rsidTr="002B1E0A">
        <w:trPr>
          <w:cantSplit/>
        </w:trPr>
        <w:tc>
          <w:tcPr>
            <w:tcW w:w="567" w:type="dxa"/>
            <w:shd w:val="clear" w:color="auto" w:fill="auto"/>
          </w:tcPr>
          <w:p w14:paraId="041E3400" w14:textId="77777777" w:rsidR="003741ED" w:rsidRPr="00430317" w:rsidRDefault="003741ED" w:rsidP="00F727E9">
            <w:pPr>
              <w:pStyle w:val="TableText"/>
              <w:spacing w:before="30" w:after="30"/>
              <w:jc w:val="center"/>
            </w:pPr>
            <w:r w:rsidRPr="00430317">
              <w:t>5</w:t>
            </w:r>
          </w:p>
        </w:tc>
        <w:tc>
          <w:tcPr>
            <w:tcW w:w="1488" w:type="dxa"/>
            <w:tcBorders>
              <w:right w:val="single" w:sz="4" w:space="0" w:color="A6A6A6" w:themeColor="background1" w:themeShade="A6"/>
            </w:tcBorders>
            <w:shd w:val="clear" w:color="auto" w:fill="auto"/>
          </w:tcPr>
          <w:p w14:paraId="041E3401" w14:textId="77777777" w:rsidR="003741ED" w:rsidRPr="00430317" w:rsidRDefault="003741ED" w:rsidP="00F727E9">
            <w:pPr>
              <w:pStyle w:val="TableText"/>
              <w:spacing w:before="30" w:after="30"/>
              <w:jc w:val="center"/>
            </w:pPr>
            <w:r w:rsidRPr="00430317">
              <w:rPr>
                <w:w w:val="101"/>
              </w:rPr>
              <w:t>194–220</w:t>
            </w:r>
          </w:p>
        </w:tc>
        <w:tc>
          <w:tcPr>
            <w:tcW w:w="497" w:type="dxa"/>
            <w:tcBorders>
              <w:left w:val="single" w:sz="4" w:space="0" w:color="A6A6A6" w:themeColor="background1" w:themeShade="A6"/>
            </w:tcBorders>
            <w:shd w:val="clear" w:color="auto" w:fill="auto"/>
          </w:tcPr>
          <w:p w14:paraId="041E3402" w14:textId="77777777" w:rsidR="003741ED" w:rsidRPr="00430317" w:rsidRDefault="003741ED" w:rsidP="00F727E9">
            <w:pPr>
              <w:pStyle w:val="TableText"/>
              <w:spacing w:before="30" w:after="30"/>
              <w:jc w:val="center"/>
            </w:pPr>
            <w:r w:rsidRPr="00430317">
              <w:t>45</w:t>
            </w:r>
          </w:p>
        </w:tc>
        <w:tc>
          <w:tcPr>
            <w:tcW w:w="1559" w:type="dxa"/>
            <w:tcBorders>
              <w:right w:val="single" w:sz="4" w:space="0" w:color="A6A6A6" w:themeColor="background1" w:themeShade="A6"/>
            </w:tcBorders>
            <w:shd w:val="clear" w:color="auto" w:fill="auto"/>
          </w:tcPr>
          <w:p w14:paraId="041E3403" w14:textId="77777777" w:rsidR="003741ED" w:rsidRPr="00430317" w:rsidRDefault="003741ED" w:rsidP="00F727E9">
            <w:pPr>
              <w:pStyle w:val="TableText"/>
              <w:spacing w:before="30" w:after="30"/>
              <w:jc w:val="center"/>
            </w:pPr>
            <w:r w:rsidRPr="00430317">
              <w:rPr>
                <w:w w:val="101"/>
              </w:rPr>
              <w:t>1137–1158</w:t>
            </w:r>
          </w:p>
        </w:tc>
        <w:tc>
          <w:tcPr>
            <w:tcW w:w="425" w:type="dxa"/>
            <w:tcBorders>
              <w:left w:val="single" w:sz="4" w:space="0" w:color="A6A6A6" w:themeColor="background1" w:themeShade="A6"/>
            </w:tcBorders>
            <w:shd w:val="clear" w:color="auto" w:fill="auto"/>
          </w:tcPr>
          <w:p w14:paraId="041E3404" w14:textId="77777777" w:rsidR="003741ED" w:rsidRPr="00430317" w:rsidRDefault="003741ED" w:rsidP="00F727E9">
            <w:pPr>
              <w:pStyle w:val="TableText"/>
              <w:spacing w:before="30" w:after="30"/>
              <w:jc w:val="center"/>
            </w:pPr>
            <w:r w:rsidRPr="00430317">
              <w:t>85</w:t>
            </w:r>
          </w:p>
        </w:tc>
        <w:tc>
          <w:tcPr>
            <w:tcW w:w="1488" w:type="dxa"/>
            <w:tcBorders>
              <w:right w:val="single" w:sz="4" w:space="0" w:color="A6A6A6" w:themeColor="background1" w:themeShade="A6"/>
            </w:tcBorders>
            <w:shd w:val="clear" w:color="auto" w:fill="auto"/>
          </w:tcPr>
          <w:p w14:paraId="041E3405" w14:textId="77777777" w:rsidR="003741ED" w:rsidRPr="00430317" w:rsidRDefault="003741ED" w:rsidP="00F727E9">
            <w:pPr>
              <w:pStyle w:val="TableText"/>
              <w:spacing w:before="30" w:after="30"/>
              <w:jc w:val="center"/>
            </w:pPr>
            <w:r w:rsidRPr="00430317">
              <w:rPr>
                <w:w w:val="101"/>
              </w:rPr>
              <w:t>2017–2038</w:t>
            </w:r>
          </w:p>
        </w:tc>
        <w:tc>
          <w:tcPr>
            <w:tcW w:w="639" w:type="dxa"/>
            <w:tcBorders>
              <w:left w:val="single" w:sz="4" w:space="0" w:color="A6A6A6" w:themeColor="background1" w:themeShade="A6"/>
            </w:tcBorders>
            <w:shd w:val="clear" w:color="auto" w:fill="auto"/>
          </w:tcPr>
          <w:p w14:paraId="041E3406" w14:textId="77777777" w:rsidR="003741ED" w:rsidRPr="00430317" w:rsidRDefault="003741ED" w:rsidP="00F727E9">
            <w:pPr>
              <w:pStyle w:val="TableText"/>
              <w:spacing w:before="30" w:after="30"/>
              <w:jc w:val="center"/>
            </w:pPr>
            <w:r w:rsidRPr="00430317">
              <w:t>125</w:t>
            </w:r>
          </w:p>
        </w:tc>
        <w:tc>
          <w:tcPr>
            <w:tcW w:w="1418" w:type="dxa"/>
            <w:shd w:val="clear" w:color="auto" w:fill="auto"/>
          </w:tcPr>
          <w:p w14:paraId="041E3407" w14:textId="77777777" w:rsidR="003741ED" w:rsidRPr="00430317" w:rsidRDefault="003741ED" w:rsidP="00F727E9">
            <w:pPr>
              <w:pStyle w:val="TableText"/>
              <w:spacing w:before="30" w:after="30"/>
              <w:jc w:val="center"/>
            </w:pPr>
            <w:r w:rsidRPr="00430317">
              <w:rPr>
                <w:w w:val="101"/>
              </w:rPr>
              <w:t>2880–2900</w:t>
            </w:r>
          </w:p>
        </w:tc>
      </w:tr>
      <w:tr w:rsidR="003741ED" w:rsidRPr="00430317" w14:paraId="041E3411" w14:textId="77777777" w:rsidTr="002B1E0A">
        <w:trPr>
          <w:cantSplit/>
        </w:trPr>
        <w:tc>
          <w:tcPr>
            <w:tcW w:w="567" w:type="dxa"/>
            <w:shd w:val="clear" w:color="auto" w:fill="auto"/>
          </w:tcPr>
          <w:p w14:paraId="041E3409" w14:textId="77777777" w:rsidR="003741ED" w:rsidRPr="00430317" w:rsidRDefault="003741ED" w:rsidP="00F727E9">
            <w:pPr>
              <w:pStyle w:val="TableText"/>
              <w:spacing w:before="30" w:after="30"/>
              <w:jc w:val="center"/>
            </w:pPr>
            <w:r w:rsidRPr="00430317">
              <w:t>6</w:t>
            </w:r>
          </w:p>
        </w:tc>
        <w:tc>
          <w:tcPr>
            <w:tcW w:w="1488" w:type="dxa"/>
            <w:tcBorders>
              <w:right w:val="single" w:sz="4" w:space="0" w:color="A6A6A6" w:themeColor="background1" w:themeShade="A6"/>
            </w:tcBorders>
            <w:shd w:val="clear" w:color="auto" w:fill="auto"/>
          </w:tcPr>
          <w:p w14:paraId="041E340A" w14:textId="77777777" w:rsidR="003741ED" w:rsidRPr="00430317" w:rsidRDefault="003741ED" w:rsidP="00F727E9">
            <w:pPr>
              <w:pStyle w:val="TableText"/>
              <w:spacing w:before="30" w:after="30"/>
              <w:jc w:val="center"/>
            </w:pPr>
            <w:r w:rsidRPr="00430317">
              <w:rPr>
                <w:w w:val="101"/>
              </w:rPr>
              <w:t>221–246</w:t>
            </w:r>
          </w:p>
        </w:tc>
        <w:tc>
          <w:tcPr>
            <w:tcW w:w="497" w:type="dxa"/>
            <w:tcBorders>
              <w:left w:val="single" w:sz="4" w:space="0" w:color="A6A6A6" w:themeColor="background1" w:themeShade="A6"/>
            </w:tcBorders>
            <w:shd w:val="clear" w:color="auto" w:fill="auto"/>
          </w:tcPr>
          <w:p w14:paraId="041E340B" w14:textId="77777777" w:rsidR="003741ED" w:rsidRPr="00430317" w:rsidRDefault="003741ED" w:rsidP="00F727E9">
            <w:pPr>
              <w:pStyle w:val="TableText"/>
              <w:spacing w:before="30" w:after="30"/>
              <w:jc w:val="center"/>
            </w:pPr>
            <w:r w:rsidRPr="00430317">
              <w:t>46</w:t>
            </w:r>
          </w:p>
        </w:tc>
        <w:tc>
          <w:tcPr>
            <w:tcW w:w="1559" w:type="dxa"/>
            <w:tcBorders>
              <w:right w:val="single" w:sz="4" w:space="0" w:color="A6A6A6" w:themeColor="background1" w:themeShade="A6"/>
            </w:tcBorders>
            <w:shd w:val="clear" w:color="auto" w:fill="auto"/>
          </w:tcPr>
          <w:p w14:paraId="041E340C" w14:textId="77777777" w:rsidR="003741ED" w:rsidRPr="00430317" w:rsidRDefault="003741ED" w:rsidP="00F727E9">
            <w:pPr>
              <w:pStyle w:val="TableText"/>
              <w:spacing w:before="30" w:after="30"/>
              <w:jc w:val="center"/>
            </w:pPr>
            <w:r w:rsidRPr="00430317">
              <w:rPr>
                <w:w w:val="101"/>
              </w:rPr>
              <w:t>1159–1181</w:t>
            </w:r>
          </w:p>
        </w:tc>
        <w:tc>
          <w:tcPr>
            <w:tcW w:w="425" w:type="dxa"/>
            <w:tcBorders>
              <w:left w:val="single" w:sz="4" w:space="0" w:color="A6A6A6" w:themeColor="background1" w:themeShade="A6"/>
            </w:tcBorders>
            <w:shd w:val="clear" w:color="auto" w:fill="auto"/>
          </w:tcPr>
          <w:p w14:paraId="041E340D" w14:textId="77777777" w:rsidR="003741ED" w:rsidRPr="00430317" w:rsidRDefault="003741ED" w:rsidP="00F727E9">
            <w:pPr>
              <w:pStyle w:val="TableText"/>
              <w:spacing w:before="30" w:after="30"/>
              <w:jc w:val="center"/>
            </w:pPr>
            <w:r w:rsidRPr="00430317">
              <w:t>86</w:t>
            </w:r>
          </w:p>
        </w:tc>
        <w:tc>
          <w:tcPr>
            <w:tcW w:w="1488" w:type="dxa"/>
            <w:tcBorders>
              <w:right w:val="single" w:sz="4" w:space="0" w:color="A6A6A6" w:themeColor="background1" w:themeShade="A6"/>
            </w:tcBorders>
            <w:shd w:val="clear" w:color="auto" w:fill="auto"/>
          </w:tcPr>
          <w:p w14:paraId="041E340E" w14:textId="77777777" w:rsidR="003741ED" w:rsidRPr="00430317" w:rsidRDefault="003741ED" w:rsidP="00F727E9">
            <w:pPr>
              <w:pStyle w:val="TableText"/>
              <w:spacing w:before="30" w:after="30"/>
              <w:jc w:val="center"/>
            </w:pPr>
            <w:r w:rsidRPr="00430317">
              <w:rPr>
                <w:w w:val="101"/>
              </w:rPr>
              <w:t>2039–2060</w:t>
            </w:r>
          </w:p>
        </w:tc>
        <w:tc>
          <w:tcPr>
            <w:tcW w:w="639" w:type="dxa"/>
            <w:tcBorders>
              <w:left w:val="single" w:sz="4" w:space="0" w:color="A6A6A6" w:themeColor="background1" w:themeShade="A6"/>
            </w:tcBorders>
            <w:shd w:val="clear" w:color="auto" w:fill="auto"/>
          </w:tcPr>
          <w:p w14:paraId="041E340F" w14:textId="77777777" w:rsidR="003741ED" w:rsidRPr="00430317" w:rsidRDefault="003741ED" w:rsidP="00F727E9">
            <w:pPr>
              <w:pStyle w:val="TableText"/>
              <w:spacing w:before="30" w:after="30"/>
              <w:jc w:val="center"/>
            </w:pPr>
            <w:r w:rsidRPr="00430317">
              <w:t>126</w:t>
            </w:r>
          </w:p>
        </w:tc>
        <w:tc>
          <w:tcPr>
            <w:tcW w:w="1418" w:type="dxa"/>
            <w:shd w:val="clear" w:color="auto" w:fill="auto"/>
          </w:tcPr>
          <w:p w14:paraId="041E3410" w14:textId="77777777" w:rsidR="003741ED" w:rsidRPr="00430317" w:rsidRDefault="003741ED" w:rsidP="00F727E9">
            <w:pPr>
              <w:pStyle w:val="TableText"/>
              <w:spacing w:before="30" w:after="30"/>
              <w:jc w:val="center"/>
            </w:pPr>
            <w:r w:rsidRPr="00430317">
              <w:rPr>
                <w:w w:val="101"/>
              </w:rPr>
              <w:t>2901–2922</w:t>
            </w:r>
          </w:p>
        </w:tc>
      </w:tr>
      <w:tr w:rsidR="003741ED" w:rsidRPr="00430317" w14:paraId="041E341A" w14:textId="77777777" w:rsidTr="002B1E0A">
        <w:trPr>
          <w:cantSplit/>
        </w:trPr>
        <w:tc>
          <w:tcPr>
            <w:tcW w:w="567" w:type="dxa"/>
            <w:shd w:val="clear" w:color="auto" w:fill="auto"/>
          </w:tcPr>
          <w:p w14:paraId="041E3412" w14:textId="77777777" w:rsidR="003741ED" w:rsidRPr="00430317" w:rsidRDefault="003741ED" w:rsidP="00F727E9">
            <w:pPr>
              <w:pStyle w:val="TableText"/>
              <w:spacing w:before="30" w:after="30"/>
              <w:jc w:val="center"/>
            </w:pPr>
            <w:r w:rsidRPr="00430317">
              <w:t>7</w:t>
            </w:r>
          </w:p>
        </w:tc>
        <w:tc>
          <w:tcPr>
            <w:tcW w:w="1488" w:type="dxa"/>
            <w:tcBorders>
              <w:right w:val="single" w:sz="4" w:space="0" w:color="A6A6A6" w:themeColor="background1" w:themeShade="A6"/>
            </w:tcBorders>
            <w:shd w:val="clear" w:color="auto" w:fill="auto"/>
          </w:tcPr>
          <w:p w14:paraId="041E3413" w14:textId="77777777" w:rsidR="003741ED" w:rsidRPr="00430317" w:rsidRDefault="003741ED" w:rsidP="00F727E9">
            <w:pPr>
              <w:pStyle w:val="TableText"/>
              <w:spacing w:before="30" w:after="30"/>
              <w:jc w:val="center"/>
            </w:pPr>
            <w:r w:rsidRPr="00430317">
              <w:rPr>
                <w:w w:val="101"/>
              </w:rPr>
              <w:t>247–272</w:t>
            </w:r>
          </w:p>
        </w:tc>
        <w:tc>
          <w:tcPr>
            <w:tcW w:w="497" w:type="dxa"/>
            <w:tcBorders>
              <w:left w:val="single" w:sz="4" w:space="0" w:color="A6A6A6" w:themeColor="background1" w:themeShade="A6"/>
            </w:tcBorders>
            <w:shd w:val="clear" w:color="auto" w:fill="auto"/>
          </w:tcPr>
          <w:p w14:paraId="041E3414" w14:textId="77777777" w:rsidR="003741ED" w:rsidRPr="00430317" w:rsidRDefault="003741ED" w:rsidP="00F727E9">
            <w:pPr>
              <w:pStyle w:val="TableText"/>
              <w:spacing w:before="30" w:after="30"/>
              <w:jc w:val="center"/>
            </w:pPr>
            <w:r w:rsidRPr="00430317">
              <w:t>47</w:t>
            </w:r>
          </w:p>
        </w:tc>
        <w:tc>
          <w:tcPr>
            <w:tcW w:w="1559" w:type="dxa"/>
            <w:tcBorders>
              <w:right w:val="single" w:sz="4" w:space="0" w:color="A6A6A6" w:themeColor="background1" w:themeShade="A6"/>
            </w:tcBorders>
            <w:shd w:val="clear" w:color="auto" w:fill="auto"/>
          </w:tcPr>
          <w:p w14:paraId="041E3415" w14:textId="77777777" w:rsidR="003741ED" w:rsidRPr="00430317" w:rsidRDefault="003741ED" w:rsidP="00F727E9">
            <w:pPr>
              <w:pStyle w:val="TableText"/>
              <w:spacing w:before="30" w:after="30"/>
              <w:jc w:val="center"/>
            </w:pPr>
            <w:r w:rsidRPr="00430317">
              <w:rPr>
                <w:w w:val="101"/>
              </w:rPr>
              <w:t>1182–1203</w:t>
            </w:r>
          </w:p>
        </w:tc>
        <w:tc>
          <w:tcPr>
            <w:tcW w:w="425" w:type="dxa"/>
            <w:tcBorders>
              <w:left w:val="single" w:sz="4" w:space="0" w:color="A6A6A6" w:themeColor="background1" w:themeShade="A6"/>
            </w:tcBorders>
            <w:shd w:val="clear" w:color="auto" w:fill="auto"/>
          </w:tcPr>
          <w:p w14:paraId="041E3416" w14:textId="77777777" w:rsidR="003741ED" w:rsidRPr="00430317" w:rsidRDefault="003741ED" w:rsidP="00F727E9">
            <w:pPr>
              <w:pStyle w:val="TableText"/>
              <w:spacing w:before="30" w:after="30"/>
              <w:jc w:val="center"/>
            </w:pPr>
            <w:r w:rsidRPr="00430317">
              <w:t>87</w:t>
            </w:r>
          </w:p>
        </w:tc>
        <w:tc>
          <w:tcPr>
            <w:tcW w:w="1488" w:type="dxa"/>
            <w:tcBorders>
              <w:right w:val="single" w:sz="4" w:space="0" w:color="A6A6A6" w:themeColor="background1" w:themeShade="A6"/>
            </w:tcBorders>
            <w:shd w:val="clear" w:color="auto" w:fill="auto"/>
          </w:tcPr>
          <w:p w14:paraId="041E3417" w14:textId="77777777" w:rsidR="003741ED" w:rsidRPr="00430317" w:rsidRDefault="003741ED" w:rsidP="00F727E9">
            <w:pPr>
              <w:pStyle w:val="TableText"/>
              <w:spacing w:before="30" w:after="30"/>
              <w:jc w:val="center"/>
            </w:pPr>
            <w:r w:rsidRPr="00430317">
              <w:rPr>
                <w:w w:val="101"/>
              </w:rPr>
              <w:t>2061–2081</w:t>
            </w:r>
          </w:p>
        </w:tc>
        <w:tc>
          <w:tcPr>
            <w:tcW w:w="639" w:type="dxa"/>
            <w:tcBorders>
              <w:left w:val="single" w:sz="4" w:space="0" w:color="A6A6A6" w:themeColor="background1" w:themeShade="A6"/>
            </w:tcBorders>
            <w:shd w:val="clear" w:color="auto" w:fill="auto"/>
          </w:tcPr>
          <w:p w14:paraId="041E3418" w14:textId="77777777" w:rsidR="003741ED" w:rsidRPr="00430317" w:rsidRDefault="003741ED" w:rsidP="00F727E9">
            <w:pPr>
              <w:pStyle w:val="TableText"/>
              <w:spacing w:before="30" w:after="30"/>
              <w:jc w:val="center"/>
            </w:pPr>
            <w:r w:rsidRPr="00430317">
              <w:t>127</w:t>
            </w:r>
          </w:p>
        </w:tc>
        <w:tc>
          <w:tcPr>
            <w:tcW w:w="1418" w:type="dxa"/>
            <w:shd w:val="clear" w:color="auto" w:fill="auto"/>
          </w:tcPr>
          <w:p w14:paraId="041E3419" w14:textId="77777777" w:rsidR="003741ED" w:rsidRPr="00430317" w:rsidRDefault="003741ED" w:rsidP="00F727E9">
            <w:pPr>
              <w:pStyle w:val="TableText"/>
              <w:spacing w:before="30" w:after="30"/>
              <w:jc w:val="center"/>
            </w:pPr>
            <w:r w:rsidRPr="00430317">
              <w:rPr>
                <w:w w:val="101"/>
              </w:rPr>
              <w:t>2923–2943</w:t>
            </w:r>
          </w:p>
        </w:tc>
      </w:tr>
      <w:tr w:rsidR="003741ED" w:rsidRPr="00430317" w14:paraId="041E3423" w14:textId="77777777" w:rsidTr="002B1E0A">
        <w:trPr>
          <w:cantSplit/>
        </w:trPr>
        <w:tc>
          <w:tcPr>
            <w:tcW w:w="567" w:type="dxa"/>
            <w:shd w:val="clear" w:color="auto" w:fill="auto"/>
          </w:tcPr>
          <w:p w14:paraId="041E341B" w14:textId="77777777" w:rsidR="003741ED" w:rsidRPr="00430317" w:rsidRDefault="003741ED" w:rsidP="00F727E9">
            <w:pPr>
              <w:pStyle w:val="TableText"/>
              <w:spacing w:before="30" w:after="30"/>
              <w:jc w:val="center"/>
            </w:pPr>
            <w:r w:rsidRPr="00430317">
              <w:t>8</w:t>
            </w:r>
          </w:p>
        </w:tc>
        <w:tc>
          <w:tcPr>
            <w:tcW w:w="1488" w:type="dxa"/>
            <w:tcBorders>
              <w:right w:val="single" w:sz="4" w:space="0" w:color="A6A6A6" w:themeColor="background1" w:themeShade="A6"/>
            </w:tcBorders>
            <w:shd w:val="clear" w:color="auto" w:fill="auto"/>
          </w:tcPr>
          <w:p w14:paraId="041E341C" w14:textId="77777777" w:rsidR="003741ED" w:rsidRPr="00430317" w:rsidRDefault="003741ED" w:rsidP="00F727E9">
            <w:pPr>
              <w:pStyle w:val="TableText"/>
              <w:spacing w:before="30" w:after="30"/>
              <w:jc w:val="center"/>
            </w:pPr>
            <w:r w:rsidRPr="00430317">
              <w:rPr>
                <w:w w:val="101"/>
              </w:rPr>
              <w:t>273–298</w:t>
            </w:r>
          </w:p>
        </w:tc>
        <w:tc>
          <w:tcPr>
            <w:tcW w:w="497" w:type="dxa"/>
            <w:tcBorders>
              <w:left w:val="single" w:sz="4" w:space="0" w:color="A6A6A6" w:themeColor="background1" w:themeShade="A6"/>
            </w:tcBorders>
            <w:shd w:val="clear" w:color="auto" w:fill="auto"/>
          </w:tcPr>
          <w:p w14:paraId="041E341D" w14:textId="77777777" w:rsidR="003741ED" w:rsidRPr="00430317" w:rsidRDefault="003741ED" w:rsidP="00F727E9">
            <w:pPr>
              <w:pStyle w:val="TableText"/>
              <w:spacing w:before="30" w:after="30"/>
              <w:jc w:val="center"/>
            </w:pPr>
            <w:r w:rsidRPr="00430317">
              <w:t>48</w:t>
            </w:r>
          </w:p>
        </w:tc>
        <w:tc>
          <w:tcPr>
            <w:tcW w:w="1559" w:type="dxa"/>
            <w:tcBorders>
              <w:right w:val="single" w:sz="4" w:space="0" w:color="A6A6A6" w:themeColor="background1" w:themeShade="A6"/>
            </w:tcBorders>
            <w:shd w:val="clear" w:color="auto" w:fill="auto"/>
          </w:tcPr>
          <w:p w14:paraId="041E341E" w14:textId="77777777" w:rsidR="003741ED" w:rsidRPr="00430317" w:rsidRDefault="003741ED" w:rsidP="00F727E9">
            <w:pPr>
              <w:pStyle w:val="TableText"/>
              <w:spacing w:before="30" w:after="30"/>
              <w:jc w:val="center"/>
            </w:pPr>
            <w:r w:rsidRPr="00430317">
              <w:rPr>
                <w:w w:val="101"/>
              </w:rPr>
              <w:t>1204–1225</w:t>
            </w:r>
          </w:p>
        </w:tc>
        <w:tc>
          <w:tcPr>
            <w:tcW w:w="425" w:type="dxa"/>
            <w:tcBorders>
              <w:left w:val="single" w:sz="4" w:space="0" w:color="A6A6A6" w:themeColor="background1" w:themeShade="A6"/>
            </w:tcBorders>
            <w:shd w:val="clear" w:color="auto" w:fill="auto"/>
          </w:tcPr>
          <w:p w14:paraId="041E341F" w14:textId="77777777" w:rsidR="003741ED" w:rsidRPr="00430317" w:rsidRDefault="003741ED" w:rsidP="00F727E9">
            <w:pPr>
              <w:pStyle w:val="TableText"/>
              <w:spacing w:before="30" w:after="30"/>
              <w:jc w:val="center"/>
            </w:pPr>
            <w:r w:rsidRPr="00430317">
              <w:t>88</w:t>
            </w:r>
          </w:p>
        </w:tc>
        <w:tc>
          <w:tcPr>
            <w:tcW w:w="1488" w:type="dxa"/>
            <w:tcBorders>
              <w:right w:val="single" w:sz="4" w:space="0" w:color="A6A6A6" w:themeColor="background1" w:themeShade="A6"/>
            </w:tcBorders>
            <w:shd w:val="clear" w:color="auto" w:fill="auto"/>
          </w:tcPr>
          <w:p w14:paraId="041E3420" w14:textId="77777777" w:rsidR="003741ED" w:rsidRPr="00430317" w:rsidRDefault="003741ED" w:rsidP="00F727E9">
            <w:pPr>
              <w:pStyle w:val="TableText"/>
              <w:spacing w:before="30" w:after="30"/>
              <w:jc w:val="center"/>
            </w:pPr>
            <w:r w:rsidRPr="00430317">
              <w:rPr>
                <w:w w:val="101"/>
              </w:rPr>
              <w:t>2082–2103</w:t>
            </w:r>
          </w:p>
        </w:tc>
        <w:tc>
          <w:tcPr>
            <w:tcW w:w="639" w:type="dxa"/>
            <w:tcBorders>
              <w:left w:val="single" w:sz="4" w:space="0" w:color="A6A6A6" w:themeColor="background1" w:themeShade="A6"/>
            </w:tcBorders>
            <w:shd w:val="clear" w:color="auto" w:fill="auto"/>
          </w:tcPr>
          <w:p w14:paraId="041E3421" w14:textId="77777777" w:rsidR="003741ED" w:rsidRPr="00430317" w:rsidRDefault="003741ED" w:rsidP="00F727E9">
            <w:pPr>
              <w:pStyle w:val="TableText"/>
              <w:spacing w:before="30" w:after="30"/>
              <w:jc w:val="center"/>
            </w:pPr>
            <w:r w:rsidRPr="00430317">
              <w:t>128</w:t>
            </w:r>
          </w:p>
        </w:tc>
        <w:tc>
          <w:tcPr>
            <w:tcW w:w="1418" w:type="dxa"/>
            <w:shd w:val="clear" w:color="auto" w:fill="auto"/>
          </w:tcPr>
          <w:p w14:paraId="041E3422" w14:textId="77777777" w:rsidR="003741ED" w:rsidRPr="00430317" w:rsidRDefault="003741ED" w:rsidP="00F727E9">
            <w:pPr>
              <w:pStyle w:val="TableText"/>
              <w:spacing w:before="30" w:after="30"/>
              <w:jc w:val="center"/>
            </w:pPr>
            <w:r w:rsidRPr="00430317">
              <w:rPr>
                <w:w w:val="101"/>
              </w:rPr>
              <w:t>2944–2965</w:t>
            </w:r>
          </w:p>
        </w:tc>
      </w:tr>
      <w:tr w:rsidR="003741ED" w:rsidRPr="00430317" w14:paraId="041E342C" w14:textId="77777777" w:rsidTr="002B1E0A">
        <w:trPr>
          <w:cantSplit/>
        </w:trPr>
        <w:tc>
          <w:tcPr>
            <w:tcW w:w="567" w:type="dxa"/>
            <w:shd w:val="clear" w:color="auto" w:fill="auto"/>
          </w:tcPr>
          <w:p w14:paraId="041E3424" w14:textId="77777777" w:rsidR="003741ED" w:rsidRPr="00430317" w:rsidRDefault="003741ED" w:rsidP="00F727E9">
            <w:pPr>
              <w:pStyle w:val="TableText"/>
              <w:spacing w:before="30" w:after="30"/>
              <w:jc w:val="center"/>
            </w:pPr>
            <w:r w:rsidRPr="00430317">
              <w:t>9</w:t>
            </w:r>
          </w:p>
        </w:tc>
        <w:tc>
          <w:tcPr>
            <w:tcW w:w="1488" w:type="dxa"/>
            <w:tcBorders>
              <w:right w:val="single" w:sz="4" w:space="0" w:color="A6A6A6" w:themeColor="background1" w:themeShade="A6"/>
            </w:tcBorders>
            <w:shd w:val="clear" w:color="auto" w:fill="auto"/>
          </w:tcPr>
          <w:p w14:paraId="041E3425" w14:textId="77777777" w:rsidR="003741ED" w:rsidRPr="00430317" w:rsidRDefault="003741ED" w:rsidP="00F727E9">
            <w:pPr>
              <w:pStyle w:val="TableText"/>
              <w:spacing w:before="30" w:after="30"/>
              <w:jc w:val="center"/>
            </w:pPr>
            <w:r w:rsidRPr="00430317">
              <w:rPr>
                <w:w w:val="101"/>
              </w:rPr>
              <w:t>299–323</w:t>
            </w:r>
          </w:p>
        </w:tc>
        <w:tc>
          <w:tcPr>
            <w:tcW w:w="497" w:type="dxa"/>
            <w:tcBorders>
              <w:left w:val="single" w:sz="4" w:space="0" w:color="A6A6A6" w:themeColor="background1" w:themeShade="A6"/>
            </w:tcBorders>
            <w:shd w:val="clear" w:color="auto" w:fill="auto"/>
          </w:tcPr>
          <w:p w14:paraId="041E3426" w14:textId="77777777" w:rsidR="003741ED" w:rsidRPr="00430317" w:rsidRDefault="003741ED" w:rsidP="00F727E9">
            <w:pPr>
              <w:pStyle w:val="TableText"/>
              <w:spacing w:before="30" w:after="30"/>
              <w:jc w:val="center"/>
            </w:pPr>
            <w:r w:rsidRPr="00430317">
              <w:t>49</w:t>
            </w:r>
          </w:p>
        </w:tc>
        <w:tc>
          <w:tcPr>
            <w:tcW w:w="1559" w:type="dxa"/>
            <w:tcBorders>
              <w:right w:val="single" w:sz="4" w:space="0" w:color="A6A6A6" w:themeColor="background1" w:themeShade="A6"/>
            </w:tcBorders>
            <w:shd w:val="clear" w:color="auto" w:fill="auto"/>
          </w:tcPr>
          <w:p w14:paraId="041E3427" w14:textId="77777777" w:rsidR="003741ED" w:rsidRPr="00430317" w:rsidRDefault="003741ED" w:rsidP="00F727E9">
            <w:pPr>
              <w:pStyle w:val="TableText"/>
              <w:spacing w:before="30" w:after="30"/>
              <w:jc w:val="center"/>
            </w:pPr>
            <w:r w:rsidRPr="00430317">
              <w:rPr>
                <w:w w:val="101"/>
              </w:rPr>
              <w:t>1226–1247</w:t>
            </w:r>
          </w:p>
        </w:tc>
        <w:tc>
          <w:tcPr>
            <w:tcW w:w="425" w:type="dxa"/>
            <w:tcBorders>
              <w:left w:val="single" w:sz="4" w:space="0" w:color="A6A6A6" w:themeColor="background1" w:themeShade="A6"/>
            </w:tcBorders>
            <w:shd w:val="clear" w:color="auto" w:fill="auto"/>
          </w:tcPr>
          <w:p w14:paraId="041E3428" w14:textId="77777777" w:rsidR="003741ED" w:rsidRPr="00430317" w:rsidRDefault="003741ED" w:rsidP="00F727E9">
            <w:pPr>
              <w:pStyle w:val="TableText"/>
              <w:spacing w:before="30" w:after="30"/>
              <w:jc w:val="center"/>
            </w:pPr>
            <w:r w:rsidRPr="00430317">
              <w:t>89</w:t>
            </w:r>
          </w:p>
        </w:tc>
        <w:tc>
          <w:tcPr>
            <w:tcW w:w="1488" w:type="dxa"/>
            <w:tcBorders>
              <w:right w:val="single" w:sz="4" w:space="0" w:color="A6A6A6" w:themeColor="background1" w:themeShade="A6"/>
            </w:tcBorders>
            <w:shd w:val="clear" w:color="auto" w:fill="auto"/>
          </w:tcPr>
          <w:p w14:paraId="041E3429" w14:textId="77777777" w:rsidR="003741ED" w:rsidRPr="00430317" w:rsidRDefault="003741ED" w:rsidP="00F727E9">
            <w:pPr>
              <w:pStyle w:val="TableText"/>
              <w:spacing w:before="30" w:after="30"/>
              <w:jc w:val="center"/>
            </w:pPr>
            <w:r w:rsidRPr="00430317">
              <w:rPr>
                <w:w w:val="101"/>
              </w:rPr>
              <w:t>2104–2125</w:t>
            </w:r>
          </w:p>
        </w:tc>
        <w:tc>
          <w:tcPr>
            <w:tcW w:w="639" w:type="dxa"/>
            <w:tcBorders>
              <w:left w:val="single" w:sz="4" w:space="0" w:color="A6A6A6" w:themeColor="background1" w:themeShade="A6"/>
            </w:tcBorders>
            <w:shd w:val="clear" w:color="auto" w:fill="auto"/>
          </w:tcPr>
          <w:p w14:paraId="041E342A" w14:textId="77777777" w:rsidR="003741ED" w:rsidRPr="00430317" w:rsidRDefault="003741ED" w:rsidP="00F727E9">
            <w:pPr>
              <w:pStyle w:val="TableText"/>
              <w:spacing w:before="30" w:after="30"/>
              <w:jc w:val="center"/>
            </w:pPr>
            <w:r w:rsidRPr="00430317">
              <w:t>129</w:t>
            </w:r>
          </w:p>
        </w:tc>
        <w:tc>
          <w:tcPr>
            <w:tcW w:w="1418" w:type="dxa"/>
            <w:shd w:val="clear" w:color="auto" w:fill="auto"/>
          </w:tcPr>
          <w:p w14:paraId="041E342B" w14:textId="77777777" w:rsidR="003741ED" w:rsidRPr="00430317" w:rsidRDefault="003741ED" w:rsidP="00F727E9">
            <w:pPr>
              <w:pStyle w:val="TableText"/>
              <w:spacing w:before="30" w:after="30"/>
              <w:jc w:val="center"/>
            </w:pPr>
            <w:r w:rsidRPr="00430317">
              <w:rPr>
                <w:w w:val="101"/>
              </w:rPr>
              <w:t>2966–2986</w:t>
            </w:r>
          </w:p>
        </w:tc>
      </w:tr>
      <w:tr w:rsidR="003741ED" w:rsidRPr="00430317" w14:paraId="041E3435" w14:textId="77777777" w:rsidTr="002B1E0A">
        <w:trPr>
          <w:cantSplit/>
        </w:trPr>
        <w:tc>
          <w:tcPr>
            <w:tcW w:w="567" w:type="dxa"/>
            <w:shd w:val="clear" w:color="auto" w:fill="auto"/>
          </w:tcPr>
          <w:p w14:paraId="041E342D" w14:textId="77777777" w:rsidR="003741ED" w:rsidRPr="00430317" w:rsidRDefault="003741ED" w:rsidP="00F727E9">
            <w:pPr>
              <w:pStyle w:val="TableText"/>
              <w:spacing w:before="30" w:after="30"/>
              <w:jc w:val="center"/>
            </w:pPr>
            <w:r w:rsidRPr="00430317">
              <w:t>10</w:t>
            </w:r>
          </w:p>
        </w:tc>
        <w:tc>
          <w:tcPr>
            <w:tcW w:w="1488" w:type="dxa"/>
            <w:tcBorders>
              <w:right w:val="single" w:sz="4" w:space="0" w:color="A6A6A6" w:themeColor="background1" w:themeShade="A6"/>
            </w:tcBorders>
            <w:shd w:val="clear" w:color="auto" w:fill="auto"/>
          </w:tcPr>
          <w:p w14:paraId="041E342E" w14:textId="77777777" w:rsidR="003741ED" w:rsidRPr="00430317" w:rsidRDefault="003741ED" w:rsidP="00F727E9">
            <w:pPr>
              <w:pStyle w:val="TableText"/>
              <w:spacing w:before="30" w:after="30"/>
              <w:jc w:val="center"/>
            </w:pPr>
            <w:r w:rsidRPr="00430317">
              <w:rPr>
                <w:w w:val="101"/>
              </w:rPr>
              <w:t>324–348</w:t>
            </w:r>
          </w:p>
        </w:tc>
        <w:tc>
          <w:tcPr>
            <w:tcW w:w="497" w:type="dxa"/>
            <w:tcBorders>
              <w:left w:val="single" w:sz="4" w:space="0" w:color="A6A6A6" w:themeColor="background1" w:themeShade="A6"/>
            </w:tcBorders>
            <w:shd w:val="clear" w:color="auto" w:fill="auto"/>
          </w:tcPr>
          <w:p w14:paraId="041E342F" w14:textId="77777777" w:rsidR="003741ED" w:rsidRPr="00430317" w:rsidRDefault="003741ED" w:rsidP="00F727E9">
            <w:pPr>
              <w:pStyle w:val="TableText"/>
              <w:spacing w:before="30" w:after="30"/>
              <w:jc w:val="center"/>
            </w:pPr>
            <w:r w:rsidRPr="00430317">
              <w:t>50</w:t>
            </w:r>
          </w:p>
        </w:tc>
        <w:tc>
          <w:tcPr>
            <w:tcW w:w="1559" w:type="dxa"/>
            <w:tcBorders>
              <w:right w:val="single" w:sz="4" w:space="0" w:color="A6A6A6" w:themeColor="background1" w:themeShade="A6"/>
            </w:tcBorders>
            <w:shd w:val="clear" w:color="auto" w:fill="auto"/>
          </w:tcPr>
          <w:p w14:paraId="041E3430" w14:textId="77777777" w:rsidR="003741ED" w:rsidRPr="00430317" w:rsidRDefault="003741ED" w:rsidP="00F727E9">
            <w:pPr>
              <w:pStyle w:val="TableText"/>
              <w:spacing w:before="30" w:after="30"/>
              <w:jc w:val="center"/>
            </w:pPr>
            <w:r w:rsidRPr="00430317">
              <w:rPr>
                <w:w w:val="101"/>
              </w:rPr>
              <w:t>1248–1270</w:t>
            </w:r>
          </w:p>
        </w:tc>
        <w:tc>
          <w:tcPr>
            <w:tcW w:w="425" w:type="dxa"/>
            <w:tcBorders>
              <w:left w:val="single" w:sz="4" w:space="0" w:color="A6A6A6" w:themeColor="background1" w:themeShade="A6"/>
            </w:tcBorders>
            <w:shd w:val="clear" w:color="auto" w:fill="auto"/>
          </w:tcPr>
          <w:p w14:paraId="041E3431" w14:textId="77777777" w:rsidR="003741ED" w:rsidRPr="00430317" w:rsidRDefault="003741ED" w:rsidP="00F727E9">
            <w:pPr>
              <w:pStyle w:val="TableText"/>
              <w:spacing w:before="30" w:after="30"/>
              <w:jc w:val="center"/>
            </w:pPr>
            <w:r w:rsidRPr="00430317">
              <w:t>90</w:t>
            </w:r>
          </w:p>
        </w:tc>
        <w:tc>
          <w:tcPr>
            <w:tcW w:w="1488" w:type="dxa"/>
            <w:tcBorders>
              <w:right w:val="single" w:sz="4" w:space="0" w:color="A6A6A6" w:themeColor="background1" w:themeShade="A6"/>
            </w:tcBorders>
            <w:shd w:val="clear" w:color="auto" w:fill="auto"/>
          </w:tcPr>
          <w:p w14:paraId="041E3432" w14:textId="77777777" w:rsidR="003741ED" w:rsidRPr="00430317" w:rsidRDefault="003741ED" w:rsidP="00F727E9">
            <w:pPr>
              <w:pStyle w:val="TableText"/>
              <w:spacing w:before="30" w:after="30"/>
              <w:jc w:val="center"/>
            </w:pPr>
            <w:r w:rsidRPr="00430317">
              <w:rPr>
                <w:w w:val="101"/>
              </w:rPr>
              <w:t>2126–2146</w:t>
            </w:r>
          </w:p>
        </w:tc>
        <w:tc>
          <w:tcPr>
            <w:tcW w:w="639" w:type="dxa"/>
            <w:tcBorders>
              <w:left w:val="single" w:sz="4" w:space="0" w:color="A6A6A6" w:themeColor="background1" w:themeShade="A6"/>
            </w:tcBorders>
            <w:shd w:val="clear" w:color="auto" w:fill="auto"/>
          </w:tcPr>
          <w:p w14:paraId="041E3433" w14:textId="77777777" w:rsidR="003741ED" w:rsidRPr="00430317" w:rsidRDefault="003741ED" w:rsidP="00F727E9">
            <w:pPr>
              <w:pStyle w:val="TableText"/>
              <w:spacing w:before="30" w:after="30"/>
              <w:jc w:val="center"/>
            </w:pPr>
            <w:r w:rsidRPr="00430317">
              <w:t>130</w:t>
            </w:r>
          </w:p>
        </w:tc>
        <w:tc>
          <w:tcPr>
            <w:tcW w:w="1418" w:type="dxa"/>
            <w:shd w:val="clear" w:color="auto" w:fill="auto"/>
          </w:tcPr>
          <w:p w14:paraId="041E3434" w14:textId="77777777" w:rsidR="003741ED" w:rsidRPr="00430317" w:rsidRDefault="003741ED" w:rsidP="00F727E9">
            <w:pPr>
              <w:pStyle w:val="TableText"/>
              <w:spacing w:before="30" w:after="30"/>
              <w:jc w:val="center"/>
            </w:pPr>
            <w:r w:rsidRPr="00430317">
              <w:rPr>
                <w:w w:val="101"/>
              </w:rPr>
              <w:t>2987–3007</w:t>
            </w:r>
          </w:p>
        </w:tc>
      </w:tr>
      <w:tr w:rsidR="003741ED" w:rsidRPr="00430317" w14:paraId="041E343E" w14:textId="77777777" w:rsidTr="002B1E0A">
        <w:trPr>
          <w:cantSplit/>
        </w:trPr>
        <w:tc>
          <w:tcPr>
            <w:tcW w:w="567" w:type="dxa"/>
            <w:shd w:val="clear" w:color="auto" w:fill="auto"/>
          </w:tcPr>
          <w:p w14:paraId="041E3436" w14:textId="77777777" w:rsidR="003741ED" w:rsidRPr="00430317" w:rsidRDefault="003741ED" w:rsidP="00F727E9">
            <w:pPr>
              <w:pStyle w:val="TableText"/>
              <w:spacing w:before="30" w:after="30"/>
              <w:jc w:val="center"/>
            </w:pPr>
            <w:r w:rsidRPr="00430317">
              <w:t>11</w:t>
            </w:r>
          </w:p>
        </w:tc>
        <w:tc>
          <w:tcPr>
            <w:tcW w:w="1488" w:type="dxa"/>
            <w:tcBorders>
              <w:right w:val="single" w:sz="4" w:space="0" w:color="A6A6A6" w:themeColor="background1" w:themeShade="A6"/>
            </w:tcBorders>
            <w:shd w:val="clear" w:color="auto" w:fill="auto"/>
          </w:tcPr>
          <w:p w14:paraId="041E3437" w14:textId="77777777" w:rsidR="003741ED" w:rsidRPr="00430317" w:rsidRDefault="003741ED" w:rsidP="00F727E9">
            <w:pPr>
              <w:pStyle w:val="TableText"/>
              <w:spacing w:before="30" w:after="30"/>
              <w:jc w:val="center"/>
            </w:pPr>
            <w:r w:rsidRPr="00430317">
              <w:rPr>
                <w:w w:val="101"/>
              </w:rPr>
              <w:t>349–372</w:t>
            </w:r>
          </w:p>
        </w:tc>
        <w:tc>
          <w:tcPr>
            <w:tcW w:w="497" w:type="dxa"/>
            <w:tcBorders>
              <w:left w:val="single" w:sz="4" w:space="0" w:color="A6A6A6" w:themeColor="background1" w:themeShade="A6"/>
            </w:tcBorders>
            <w:shd w:val="clear" w:color="auto" w:fill="auto"/>
          </w:tcPr>
          <w:p w14:paraId="041E3438" w14:textId="77777777" w:rsidR="003741ED" w:rsidRPr="00430317" w:rsidRDefault="003741ED" w:rsidP="00F727E9">
            <w:pPr>
              <w:pStyle w:val="TableText"/>
              <w:spacing w:before="30" w:after="30"/>
              <w:jc w:val="center"/>
            </w:pPr>
            <w:r w:rsidRPr="00430317">
              <w:t>51</w:t>
            </w:r>
          </w:p>
        </w:tc>
        <w:tc>
          <w:tcPr>
            <w:tcW w:w="1559" w:type="dxa"/>
            <w:tcBorders>
              <w:right w:val="single" w:sz="4" w:space="0" w:color="A6A6A6" w:themeColor="background1" w:themeShade="A6"/>
            </w:tcBorders>
            <w:shd w:val="clear" w:color="auto" w:fill="auto"/>
          </w:tcPr>
          <w:p w14:paraId="041E3439" w14:textId="77777777" w:rsidR="003741ED" w:rsidRPr="00430317" w:rsidRDefault="003741ED" w:rsidP="00F727E9">
            <w:pPr>
              <w:pStyle w:val="TableText"/>
              <w:spacing w:before="30" w:after="30"/>
              <w:jc w:val="center"/>
            </w:pPr>
            <w:r w:rsidRPr="00430317">
              <w:rPr>
                <w:w w:val="101"/>
              </w:rPr>
              <w:t>1271–1292</w:t>
            </w:r>
          </w:p>
        </w:tc>
        <w:tc>
          <w:tcPr>
            <w:tcW w:w="425" w:type="dxa"/>
            <w:tcBorders>
              <w:left w:val="single" w:sz="4" w:space="0" w:color="A6A6A6" w:themeColor="background1" w:themeShade="A6"/>
            </w:tcBorders>
            <w:shd w:val="clear" w:color="auto" w:fill="auto"/>
          </w:tcPr>
          <w:p w14:paraId="041E343A" w14:textId="77777777" w:rsidR="003741ED" w:rsidRPr="00430317" w:rsidRDefault="003741ED" w:rsidP="00F727E9">
            <w:pPr>
              <w:pStyle w:val="TableText"/>
              <w:spacing w:before="30" w:after="30"/>
              <w:jc w:val="center"/>
            </w:pPr>
            <w:r w:rsidRPr="00430317">
              <w:t>91</w:t>
            </w:r>
          </w:p>
        </w:tc>
        <w:tc>
          <w:tcPr>
            <w:tcW w:w="1488" w:type="dxa"/>
            <w:tcBorders>
              <w:right w:val="single" w:sz="4" w:space="0" w:color="A6A6A6" w:themeColor="background1" w:themeShade="A6"/>
            </w:tcBorders>
            <w:shd w:val="clear" w:color="auto" w:fill="auto"/>
          </w:tcPr>
          <w:p w14:paraId="041E343B" w14:textId="77777777" w:rsidR="003741ED" w:rsidRPr="00430317" w:rsidRDefault="003741ED" w:rsidP="00F727E9">
            <w:pPr>
              <w:pStyle w:val="TableText"/>
              <w:spacing w:before="30" w:after="30"/>
              <w:jc w:val="center"/>
            </w:pPr>
            <w:r w:rsidRPr="00430317">
              <w:rPr>
                <w:w w:val="101"/>
              </w:rPr>
              <w:t>2147–2168</w:t>
            </w:r>
          </w:p>
        </w:tc>
        <w:tc>
          <w:tcPr>
            <w:tcW w:w="639" w:type="dxa"/>
            <w:tcBorders>
              <w:left w:val="single" w:sz="4" w:space="0" w:color="A6A6A6" w:themeColor="background1" w:themeShade="A6"/>
            </w:tcBorders>
            <w:shd w:val="clear" w:color="auto" w:fill="auto"/>
          </w:tcPr>
          <w:p w14:paraId="041E343C" w14:textId="77777777" w:rsidR="003741ED" w:rsidRPr="00430317" w:rsidRDefault="003741ED" w:rsidP="00F727E9">
            <w:pPr>
              <w:pStyle w:val="TableText"/>
              <w:spacing w:before="30" w:after="30"/>
              <w:jc w:val="center"/>
            </w:pPr>
            <w:r w:rsidRPr="00430317">
              <w:t>131</w:t>
            </w:r>
          </w:p>
        </w:tc>
        <w:tc>
          <w:tcPr>
            <w:tcW w:w="1418" w:type="dxa"/>
            <w:shd w:val="clear" w:color="auto" w:fill="auto"/>
          </w:tcPr>
          <w:p w14:paraId="041E343D" w14:textId="77777777" w:rsidR="003741ED" w:rsidRPr="00430317" w:rsidRDefault="003741ED" w:rsidP="00F727E9">
            <w:pPr>
              <w:pStyle w:val="TableText"/>
              <w:spacing w:before="30" w:after="30"/>
              <w:jc w:val="center"/>
            </w:pPr>
            <w:r w:rsidRPr="00430317">
              <w:rPr>
                <w:w w:val="101"/>
              </w:rPr>
              <w:t>3008–3029</w:t>
            </w:r>
          </w:p>
        </w:tc>
      </w:tr>
      <w:tr w:rsidR="003741ED" w:rsidRPr="00430317" w14:paraId="041E3447" w14:textId="77777777" w:rsidTr="002B1E0A">
        <w:trPr>
          <w:cantSplit/>
        </w:trPr>
        <w:tc>
          <w:tcPr>
            <w:tcW w:w="567" w:type="dxa"/>
            <w:shd w:val="clear" w:color="auto" w:fill="auto"/>
          </w:tcPr>
          <w:p w14:paraId="041E343F" w14:textId="77777777" w:rsidR="003741ED" w:rsidRPr="00430317" w:rsidRDefault="003741ED" w:rsidP="00F727E9">
            <w:pPr>
              <w:pStyle w:val="TableText"/>
              <w:spacing w:before="30" w:after="30"/>
              <w:jc w:val="center"/>
            </w:pPr>
            <w:r w:rsidRPr="00430317">
              <w:t>12</w:t>
            </w:r>
          </w:p>
        </w:tc>
        <w:tc>
          <w:tcPr>
            <w:tcW w:w="1488" w:type="dxa"/>
            <w:tcBorders>
              <w:right w:val="single" w:sz="4" w:space="0" w:color="A6A6A6" w:themeColor="background1" w:themeShade="A6"/>
            </w:tcBorders>
            <w:shd w:val="clear" w:color="auto" w:fill="auto"/>
          </w:tcPr>
          <w:p w14:paraId="041E3440" w14:textId="77777777" w:rsidR="003741ED" w:rsidRPr="00430317" w:rsidRDefault="003741ED" w:rsidP="00F727E9">
            <w:pPr>
              <w:pStyle w:val="TableText"/>
              <w:spacing w:before="30" w:after="30"/>
              <w:jc w:val="center"/>
            </w:pPr>
            <w:r w:rsidRPr="00430317">
              <w:rPr>
                <w:w w:val="101"/>
              </w:rPr>
              <w:t>373–397</w:t>
            </w:r>
          </w:p>
        </w:tc>
        <w:tc>
          <w:tcPr>
            <w:tcW w:w="497" w:type="dxa"/>
            <w:tcBorders>
              <w:left w:val="single" w:sz="4" w:space="0" w:color="A6A6A6" w:themeColor="background1" w:themeShade="A6"/>
            </w:tcBorders>
            <w:shd w:val="clear" w:color="auto" w:fill="auto"/>
          </w:tcPr>
          <w:p w14:paraId="041E3441" w14:textId="77777777" w:rsidR="003741ED" w:rsidRPr="00430317" w:rsidRDefault="003741ED" w:rsidP="00F727E9">
            <w:pPr>
              <w:pStyle w:val="TableText"/>
              <w:spacing w:before="30" w:after="30"/>
              <w:jc w:val="center"/>
            </w:pPr>
            <w:r w:rsidRPr="00430317">
              <w:t>52</w:t>
            </w:r>
          </w:p>
        </w:tc>
        <w:tc>
          <w:tcPr>
            <w:tcW w:w="1559" w:type="dxa"/>
            <w:tcBorders>
              <w:right w:val="single" w:sz="4" w:space="0" w:color="A6A6A6" w:themeColor="background1" w:themeShade="A6"/>
            </w:tcBorders>
            <w:shd w:val="clear" w:color="auto" w:fill="auto"/>
          </w:tcPr>
          <w:p w14:paraId="041E3442" w14:textId="77777777" w:rsidR="003741ED" w:rsidRPr="00430317" w:rsidRDefault="003741ED" w:rsidP="00F727E9">
            <w:pPr>
              <w:pStyle w:val="TableText"/>
              <w:spacing w:before="30" w:after="30"/>
              <w:jc w:val="center"/>
            </w:pPr>
            <w:r w:rsidRPr="00430317">
              <w:rPr>
                <w:w w:val="101"/>
              </w:rPr>
              <w:t>1293–1314</w:t>
            </w:r>
          </w:p>
        </w:tc>
        <w:tc>
          <w:tcPr>
            <w:tcW w:w="425" w:type="dxa"/>
            <w:tcBorders>
              <w:left w:val="single" w:sz="4" w:space="0" w:color="A6A6A6" w:themeColor="background1" w:themeShade="A6"/>
            </w:tcBorders>
            <w:shd w:val="clear" w:color="auto" w:fill="auto"/>
          </w:tcPr>
          <w:p w14:paraId="041E3443" w14:textId="77777777" w:rsidR="003741ED" w:rsidRPr="00430317" w:rsidRDefault="003741ED" w:rsidP="00F727E9">
            <w:pPr>
              <w:pStyle w:val="TableText"/>
              <w:spacing w:before="30" w:after="30"/>
              <w:jc w:val="center"/>
            </w:pPr>
            <w:r w:rsidRPr="00430317">
              <w:t>92</w:t>
            </w:r>
          </w:p>
        </w:tc>
        <w:tc>
          <w:tcPr>
            <w:tcW w:w="1488" w:type="dxa"/>
            <w:tcBorders>
              <w:right w:val="single" w:sz="4" w:space="0" w:color="A6A6A6" w:themeColor="background1" w:themeShade="A6"/>
            </w:tcBorders>
            <w:shd w:val="clear" w:color="auto" w:fill="auto"/>
          </w:tcPr>
          <w:p w14:paraId="041E3444" w14:textId="77777777" w:rsidR="003741ED" w:rsidRPr="00430317" w:rsidRDefault="003741ED" w:rsidP="00F727E9">
            <w:pPr>
              <w:pStyle w:val="TableText"/>
              <w:spacing w:before="30" w:after="30"/>
              <w:jc w:val="center"/>
            </w:pPr>
            <w:r w:rsidRPr="00430317">
              <w:rPr>
                <w:w w:val="101"/>
              </w:rPr>
              <w:t>2169–2190</w:t>
            </w:r>
          </w:p>
        </w:tc>
        <w:tc>
          <w:tcPr>
            <w:tcW w:w="639" w:type="dxa"/>
            <w:tcBorders>
              <w:left w:val="single" w:sz="4" w:space="0" w:color="A6A6A6" w:themeColor="background1" w:themeShade="A6"/>
            </w:tcBorders>
            <w:shd w:val="clear" w:color="auto" w:fill="auto"/>
          </w:tcPr>
          <w:p w14:paraId="041E3445" w14:textId="77777777" w:rsidR="003741ED" w:rsidRPr="00430317" w:rsidRDefault="003741ED" w:rsidP="00F727E9">
            <w:pPr>
              <w:pStyle w:val="TableText"/>
              <w:spacing w:before="30" w:after="30"/>
              <w:jc w:val="center"/>
            </w:pPr>
            <w:r w:rsidRPr="00430317">
              <w:t>132</w:t>
            </w:r>
          </w:p>
        </w:tc>
        <w:tc>
          <w:tcPr>
            <w:tcW w:w="1418" w:type="dxa"/>
            <w:shd w:val="clear" w:color="auto" w:fill="auto"/>
          </w:tcPr>
          <w:p w14:paraId="041E3446" w14:textId="77777777" w:rsidR="003741ED" w:rsidRPr="00430317" w:rsidRDefault="003741ED" w:rsidP="00F727E9">
            <w:pPr>
              <w:pStyle w:val="TableText"/>
              <w:spacing w:before="30" w:after="30"/>
              <w:jc w:val="center"/>
            </w:pPr>
            <w:r w:rsidRPr="00430317">
              <w:rPr>
                <w:w w:val="101"/>
              </w:rPr>
              <w:t>3030–3050</w:t>
            </w:r>
          </w:p>
        </w:tc>
      </w:tr>
      <w:tr w:rsidR="003741ED" w:rsidRPr="00430317" w14:paraId="041E3450" w14:textId="77777777" w:rsidTr="002B1E0A">
        <w:trPr>
          <w:cantSplit/>
        </w:trPr>
        <w:tc>
          <w:tcPr>
            <w:tcW w:w="567" w:type="dxa"/>
            <w:shd w:val="clear" w:color="auto" w:fill="auto"/>
          </w:tcPr>
          <w:p w14:paraId="041E3448" w14:textId="77777777" w:rsidR="003741ED" w:rsidRPr="00430317" w:rsidRDefault="003741ED" w:rsidP="00F727E9">
            <w:pPr>
              <w:pStyle w:val="TableText"/>
              <w:spacing w:before="30" w:after="30"/>
              <w:jc w:val="center"/>
            </w:pPr>
            <w:r w:rsidRPr="00430317">
              <w:t>13</w:t>
            </w:r>
          </w:p>
        </w:tc>
        <w:tc>
          <w:tcPr>
            <w:tcW w:w="1488" w:type="dxa"/>
            <w:tcBorders>
              <w:right w:val="single" w:sz="4" w:space="0" w:color="A6A6A6" w:themeColor="background1" w:themeShade="A6"/>
            </w:tcBorders>
            <w:shd w:val="clear" w:color="auto" w:fill="auto"/>
          </w:tcPr>
          <w:p w14:paraId="041E3449" w14:textId="77777777" w:rsidR="003741ED" w:rsidRPr="00430317" w:rsidRDefault="003741ED" w:rsidP="00F727E9">
            <w:pPr>
              <w:pStyle w:val="TableText"/>
              <w:spacing w:before="30" w:after="30"/>
              <w:jc w:val="center"/>
            </w:pPr>
            <w:r w:rsidRPr="00430317">
              <w:rPr>
                <w:w w:val="101"/>
              </w:rPr>
              <w:t>398–421</w:t>
            </w:r>
          </w:p>
        </w:tc>
        <w:tc>
          <w:tcPr>
            <w:tcW w:w="497" w:type="dxa"/>
            <w:tcBorders>
              <w:left w:val="single" w:sz="4" w:space="0" w:color="A6A6A6" w:themeColor="background1" w:themeShade="A6"/>
            </w:tcBorders>
            <w:shd w:val="clear" w:color="auto" w:fill="auto"/>
          </w:tcPr>
          <w:p w14:paraId="041E344A" w14:textId="77777777" w:rsidR="003741ED" w:rsidRPr="00430317" w:rsidRDefault="003741ED" w:rsidP="00F727E9">
            <w:pPr>
              <w:pStyle w:val="TableText"/>
              <w:spacing w:before="30" w:after="30"/>
              <w:jc w:val="center"/>
            </w:pPr>
            <w:r w:rsidRPr="00430317">
              <w:t>53</w:t>
            </w:r>
          </w:p>
        </w:tc>
        <w:tc>
          <w:tcPr>
            <w:tcW w:w="1559" w:type="dxa"/>
            <w:tcBorders>
              <w:right w:val="single" w:sz="4" w:space="0" w:color="A6A6A6" w:themeColor="background1" w:themeShade="A6"/>
            </w:tcBorders>
            <w:shd w:val="clear" w:color="auto" w:fill="auto"/>
          </w:tcPr>
          <w:p w14:paraId="041E344B" w14:textId="77777777" w:rsidR="003741ED" w:rsidRPr="00430317" w:rsidRDefault="003741ED" w:rsidP="00F727E9">
            <w:pPr>
              <w:pStyle w:val="TableText"/>
              <w:spacing w:before="30" w:after="30"/>
              <w:jc w:val="center"/>
            </w:pPr>
            <w:r w:rsidRPr="00430317">
              <w:rPr>
                <w:w w:val="101"/>
              </w:rPr>
              <w:t>1315–1336</w:t>
            </w:r>
          </w:p>
        </w:tc>
        <w:tc>
          <w:tcPr>
            <w:tcW w:w="425" w:type="dxa"/>
            <w:tcBorders>
              <w:left w:val="single" w:sz="4" w:space="0" w:color="A6A6A6" w:themeColor="background1" w:themeShade="A6"/>
            </w:tcBorders>
            <w:shd w:val="clear" w:color="auto" w:fill="auto"/>
          </w:tcPr>
          <w:p w14:paraId="041E344C" w14:textId="77777777" w:rsidR="003741ED" w:rsidRPr="00430317" w:rsidRDefault="003741ED" w:rsidP="00F727E9">
            <w:pPr>
              <w:pStyle w:val="TableText"/>
              <w:spacing w:before="30" w:after="30"/>
              <w:jc w:val="center"/>
            </w:pPr>
            <w:r w:rsidRPr="00430317">
              <w:t>93</w:t>
            </w:r>
          </w:p>
        </w:tc>
        <w:tc>
          <w:tcPr>
            <w:tcW w:w="1488" w:type="dxa"/>
            <w:tcBorders>
              <w:right w:val="single" w:sz="4" w:space="0" w:color="A6A6A6" w:themeColor="background1" w:themeShade="A6"/>
            </w:tcBorders>
            <w:shd w:val="clear" w:color="auto" w:fill="auto"/>
          </w:tcPr>
          <w:p w14:paraId="041E344D" w14:textId="77777777" w:rsidR="003741ED" w:rsidRPr="00430317" w:rsidRDefault="003741ED" w:rsidP="00F727E9">
            <w:pPr>
              <w:pStyle w:val="TableText"/>
              <w:spacing w:before="30" w:after="30"/>
              <w:jc w:val="center"/>
            </w:pPr>
            <w:r w:rsidRPr="00430317">
              <w:rPr>
                <w:w w:val="101"/>
              </w:rPr>
              <w:t>2191–2211</w:t>
            </w:r>
          </w:p>
        </w:tc>
        <w:tc>
          <w:tcPr>
            <w:tcW w:w="639" w:type="dxa"/>
            <w:tcBorders>
              <w:left w:val="single" w:sz="4" w:space="0" w:color="A6A6A6" w:themeColor="background1" w:themeShade="A6"/>
            </w:tcBorders>
            <w:shd w:val="clear" w:color="auto" w:fill="auto"/>
          </w:tcPr>
          <w:p w14:paraId="041E344E" w14:textId="77777777" w:rsidR="003741ED" w:rsidRPr="00430317" w:rsidRDefault="003741ED" w:rsidP="00F727E9">
            <w:pPr>
              <w:pStyle w:val="TableText"/>
              <w:spacing w:before="30" w:after="30"/>
              <w:jc w:val="center"/>
            </w:pPr>
            <w:r w:rsidRPr="00430317">
              <w:t>133</w:t>
            </w:r>
          </w:p>
        </w:tc>
        <w:tc>
          <w:tcPr>
            <w:tcW w:w="1418" w:type="dxa"/>
            <w:shd w:val="clear" w:color="auto" w:fill="auto"/>
          </w:tcPr>
          <w:p w14:paraId="041E344F" w14:textId="77777777" w:rsidR="003741ED" w:rsidRPr="00430317" w:rsidRDefault="003741ED" w:rsidP="00F727E9">
            <w:pPr>
              <w:pStyle w:val="TableText"/>
              <w:spacing w:before="30" w:after="30"/>
              <w:jc w:val="center"/>
            </w:pPr>
            <w:r w:rsidRPr="00430317">
              <w:rPr>
                <w:w w:val="101"/>
              </w:rPr>
              <w:t>3051–3072</w:t>
            </w:r>
          </w:p>
        </w:tc>
      </w:tr>
      <w:tr w:rsidR="003741ED" w:rsidRPr="00430317" w14:paraId="041E3459" w14:textId="77777777" w:rsidTr="002B1E0A">
        <w:trPr>
          <w:cantSplit/>
        </w:trPr>
        <w:tc>
          <w:tcPr>
            <w:tcW w:w="567" w:type="dxa"/>
            <w:shd w:val="clear" w:color="auto" w:fill="auto"/>
          </w:tcPr>
          <w:p w14:paraId="041E3451" w14:textId="77777777" w:rsidR="003741ED" w:rsidRPr="00430317" w:rsidRDefault="003741ED" w:rsidP="00F727E9">
            <w:pPr>
              <w:pStyle w:val="TableText"/>
              <w:spacing w:before="30" w:after="30"/>
              <w:jc w:val="center"/>
            </w:pPr>
            <w:r w:rsidRPr="00430317">
              <w:t>14</w:t>
            </w:r>
          </w:p>
        </w:tc>
        <w:tc>
          <w:tcPr>
            <w:tcW w:w="1488" w:type="dxa"/>
            <w:tcBorders>
              <w:right w:val="single" w:sz="4" w:space="0" w:color="A6A6A6" w:themeColor="background1" w:themeShade="A6"/>
            </w:tcBorders>
            <w:shd w:val="clear" w:color="auto" w:fill="auto"/>
          </w:tcPr>
          <w:p w14:paraId="041E3452" w14:textId="77777777" w:rsidR="003741ED" w:rsidRPr="00430317" w:rsidRDefault="003741ED" w:rsidP="00F727E9">
            <w:pPr>
              <w:pStyle w:val="TableText"/>
              <w:spacing w:before="30" w:after="30"/>
              <w:jc w:val="center"/>
            </w:pPr>
            <w:r w:rsidRPr="00430317">
              <w:rPr>
                <w:w w:val="101"/>
              </w:rPr>
              <w:t>422–445</w:t>
            </w:r>
          </w:p>
        </w:tc>
        <w:tc>
          <w:tcPr>
            <w:tcW w:w="497" w:type="dxa"/>
            <w:tcBorders>
              <w:left w:val="single" w:sz="4" w:space="0" w:color="A6A6A6" w:themeColor="background1" w:themeShade="A6"/>
            </w:tcBorders>
            <w:shd w:val="clear" w:color="auto" w:fill="auto"/>
          </w:tcPr>
          <w:p w14:paraId="041E3453" w14:textId="77777777" w:rsidR="003741ED" w:rsidRPr="00430317" w:rsidRDefault="003741ED" w:rsidP="00F727E9">
            <w:pPr>
              <w:pStyle w:val="TableText"/>
              <w:spacing w:before="30" w:after="30"/>
              <w:jc w:val="center"/>
            </w:pPr>
            <w:r w:rsidRPr="00430317">
              <w:t>54</w:t>
            </w:r>
          </w:p>
        </w:tc>
        <w:tc>
          <w:tcPr>
            <w:tcW w:w="1559" w:type="dxa"/>
            <w:tcBorders>
              <w:right w:val="single" w:sz="4" w:space="0" w:color="A6A6A6" w:themeColor="background1" w:themeShade="A6"/>
            </w:tcBorders>
            <w:shd w:val="clear" w:color="auto" w:fill="auto"/>
          </w:tcPr>
          <w:p w14:paraId="041E3454" w14:textId="77777777" w:rsidR="003741ED" w:rsidRPr="00430317" w:rsidRDefault="003741ED" w:rsidP="00F727E9">
            <w:pPr>
              <w:pStyle w:val="TableText"/>
              <w:spacing w:before="30" w:after="30"/>
              <w:jc w:val="center"/>
            </w:pPr>
            <w:r w:rsidRPr="00430317">
              <w:rPr>
                <w:w w:val="101"/>
              </w:rPr>
              <w:t>1337–1358</w:t>
            </w:r>
          </w:p>
        </w:tc>
        <w:tc>
          <w:tcPr>
            <w:tcW w:w="425" w:type="dxa"/>
            <w:tcBorders>
              <w:left w:val="single" w:sz="4" w:space="0" w:color="A6A6A6" w:themeColor="background1" w:themeShade="A6"/>
            </w:tcBorders>
            <w:shd w:val="clear" w:color="auto" w:fill="auto"/>
          </w:tcPr>
          <w:p w14:paraId="041E3455" w14:textId="77777777" w:rsidR="003741ED" w:rsidRPr="00430317" w:rsidRDefault="003741ED" w:rsidP="00F727E9">
            <w:pPr>
              <w:pStyle w:val="TableText"/>
              <w:spacing w:before="30" w:after="30"/>
              <w:jc w:val="center"/>
            </w:pPr>
            <w:r w:rsidRPr="00430317">
              <w:t>94</w:t>
            </w:r>
          </w:p>
        </w:tc>
        <w:tc>
          <w:tcPr>
            <w:tcW w:w="1488" w:type="dxa"/>
            <w:tcBorders>
              <w:right w:val="single" w:sz="4" w:space="0" w:color="A6A6A6" w:themeColor="background1" w:themeShade="A6"/>
            </w:tcBorders>
            <w:shd w:val="clear" w:color="auto" w:fill="auto"/>
          </w:tcPr>
          <w:p w14:paraId="041E3456" w14:textId="77777777" w:rsidR="003741ED" w:rsidRPr="00430317" w:rsidRDefault="003741ED" w:rsidP="00F727E9">
            <w:pPr>
              <w:pStyle w:val="TableText"/>
              <w:spacing w:before="30" w:after="30"/>
              <w:jc w:val="center"/>
            </w:pPr>
            <w:r w:rsidRPr="00430317">
              <w:rPr>
                <w:w w:val="101"/>
              </w:rPr>
              <w:t>2212–2233</w:t>
            </w:r>
          </w:p>
        </w:tc>
        <w:tc>
          <w:tcPr>
            <w:tcW w:w="639" w:type="dxa"/>
            <w:tcBorders>
              <w:left w:val="single" w:sz="4" w:space="0" w:color="A6A6A6" w:themeColor="background1" w:themeShade="A6"/>
            </w:tcBorders>
            <w:shd w:val="clear" w:color="auto" w:fill="auto"/>
          </w:tcPr>
          <w:p w14:paraId="041E3457" w14:textId="77777777" w:rsidR="003741ED" w:rsidRPr="00430317" w:rsidRDefault="003741ED" w:rsidP="00F727E9">
            <w:pPr>
              <w:pStyle w:val="TableText"/>
              <w:spacing w:before="30" w:after="30"/>
              <w:jc w:val="center"/>
            </w:pPr>
            <w:r w:rsidRPr="00430317">
              <w:t>134</w:t>
            </w:r>
          </w:p>
        </w:tc>
        <w:tc>
          <w:tcPr>
            <w:tcW w:w="1418" w:type="dxa"/>
            <w:shd w:val="clear" w:color="auto" w:fill="auto"/>
          </w:tcPr>
          <w:p w14:paraId="041E3458" w14:textId="77777777" w:rsidR="003741ED" w:rsidRPr="00430317" w:rsidRDefault="003741ED" w:rsidP="00F727E9">
            <w:pPr>
              <w:pStyle w:val="TableText"/>
              <w:spacing w:before="30" w:after="30"/>
              <w:jc w:val="center"/>
            </w:pPr>
            <w:r w:rsidRPr="00430317">
              <w:rPr>
                <w:w w:val="101"/>
              </w:rPr>
              <w:t>3073–3093</w:t>
            </w:r>
          </w:p>
        </w:tc>
      </w:tr>
      <w:tr w:rsidR="003741ED" w:rsidRPr="00430317" w14:paraId="041E3462" w14:textId="77777777" w:rsidTr="002B1E0A">
        <w:trPr>
          <w:cantSplit/>
        </w:trPr>
        <w:tc>
          <w:tcPr>
            <w:tcW w:w="567" w:type="dxa"/>
            <w:shd w:val="clear" w:color="auto" w:fill="auto"/>
          </w:tcPr>
          <w:p w14:paraId="041E345A" w14:textId="77777777" w:rsidR="003741ED" w:rsidRPr="00430317" w:rsidRDefault="003741ED" w:rsidP="00F727E9">
            <w:pPr>
              <w:pStyle w:val="TableText"/>
              <w:spacing w:before="30" w:after="30"/>
              <w:jc w:val="center"/>
            </w:pPr>
            <w:r w:rsidRPr="00430317">
              <w:t>15</w:t>
            </w:r>
          </w:p>
        </w:tc>
        <w:tc>
          <w:tcPr>
            <w:tcW w:w="1488" w:type="dxa"/>
            <w:tcBorders>
              <w:right w:val="single" w:sz="4" w:space="0" w:color="A6A6A6" w:themeColor="background1" w:themeShade="A6"/>
            </w:tcBorders>
            <w:shd w:val="clear" w:color="auto" w:fill="auto"/>
          </w:tcPr>
          <w:p w14:paraId="041E345B" w14:textId="77777777" w:rsidR="003741ED" w:rsidRPr="00430317" w:rsidRDefault="003741ED" w:rsidP="00F727E9">
            <w:pPr>
              <w:pStyle w:val="TableText"/>
              <w:spacing w:before="30" w:after="30"/>
              <w:jc w:val="center"/>
            </w:pPr>
            <w:r w:rsidRPr="00430317">
              <w:rPr>
                <w:w w:val="101"/>
              </w:rPr>
              <w:t>446–469</w:t>
            </w:r>
          </w:p>
        </w:tc>
        <w:tc>
          <w:tcPr>
            <w:tcW w:w="497" w:type="dxa"/>
            <w:tcBorders>
              <w:left w:val="single" w:sz="4" w:space="0" w:color="A6A6A6" w:themeColor="background1" w:themeShade="A6"/>
            </w:tcBorders>
            <w:shd w:val="clear" w:color="auto" w:fill="auto"/>
          </w:tcPr>
          <w:p w14:paraId="041E345C" w14:textId="77777777" w:rsidR="003741ED" w:rsidRPr="00430317" w:rsidRDefault="003741ED" w:rsidP="00F727E9">
            <w:pPr>
              <w:pStyle w:val="TableText"/>
              <w:spacing w:before="30" w:after="30"/>
              <w:jc w:val="center"/>
            </w:pPr>
            <w:r w:rsidRPr="00430317">
              <w:t>55</w:t>
            </w:r>
          </w:p>
        </w:tc>
        <w:tc>
          <w:tcPr>
            <w:tcW w:w="1559" w:type="dxa"/>
            <w:tcBorders>
              <w:right w:val="single" w:sz="4" w:space="0" w:color="A6A6A6" w:themeColor="background1" w:themeShade="A6"/>
            </w:tcBorders>
            <w:shd w:val="clear" w:color="auto" w:fill="auto"/>
          </w:tcPr>
          <w:p w14:paraId="041E345D" w14:textId="77777777" w:rsidR="003741ED" w:rsidRPr="00430317" w:rsidRDefault="003741ED" w:rsidP="00F727E9">
            <w:pPr>
              <w:pStyle w:val="TableText"/>
              <w:spacing w:before="30" w:after="30"/>
              <w:jc w:val="center"/>
            </w:pPr>
            <w:r w:rsidRPr="00430317">
              <w:rPr>
                <w:w w:val="101"/>
              </w:rPr>
              <w:t>1359–1381</w:t>
            </w:r>
          </w:p>
        </w:tc>
        <w:tc>
          <w:tcPr>
            <w:tcW w:w="425" w:type="dxa"/>
            <w:tcBorders>
              <w:left w:val="single" w:sz="4" w:space="0" w:color="A6A6A6" w:themeColor="background1" w:themeShade="A6"/>
            </w:tcBorders>
            <w:shd w:val="clear" w:color="auto" w:fill="auto"/>
          </w:tcPr>
          <w:p w14:paraId="041E345E" w14:textId="77777777" w:rsidR="003741ED" w:rsidRPr="00430317" w:rsidRDefault="003741ED" w:rsidP="00F727E9">
            <w:pPr>
              <w:pStyle w:val="TableText"/>
              <w:spacing w:before="30" w:after="30"/>
              <w:jc w:val="center"/>
            </w:pPr>
            <w:r w:rsidRPr="00430317">
              <w:t>95</w:t>
            </w:r>
          </w:p>
        </w:tc>
        <w:tc>
          <w:tcPr>
            <w:tcW w:w="1488" w:type="dxa"/>
            <w:tcBorders>
              <w:right w:val="single" w:sz="4" w:space="0" w:color="A6A6A6" w:themeColor="background1" w:themeShade="A6"/>
            </w:tcBorders>
            <w:shd w:val="clear" w:color="auto" w:fill="auto"/>
          </w:tcPr>
          <w:p w14:paraId="041E345F" w14:textId="77777777" w:rsidR="003741ED" w:rsidRPr="00430317" w:rsidRDefault="003741ED" w:rsidP="00F727E9">
            <w:pPr>
              <w:pStyle w:val="TableText"/>
              <w:spacing w:before="30" w:after="30"/>
              <w:jc w:val="center"/>
            </w:pPr>
            <w:r w:rsidRPr="00430317">
              <w:rPr>
                <w:w w:val="101"/>
              </w:rPr>
              <w:t>2234–2255</w:t>
            </w:r>
          </w:p>
        </w:tc>
        <w:tc>
          <w:tcPr>
            <w:tcW w:w="639" w:type="dxa"/>
            <w:tcBorders>
              <w:left w:val="single" w:sz="4" w:space="0" w:color="A6A6A6" w:themeColor="background1" w:themeShade="A6"/>
            </w:tcBorders>
            <w:shd w:val="clear" w:color="auto" w:fill="auto"/>
          </w:tcPr>
          <w:p w14:paraId="041E3460" w14:textId="77777777" w:rsidR="003741ED" w:rsidRPr="00430317" w:rsidRDefault="003741ED" w:rsidP="00F727E9">
            <w:pPr>
              <w:pStyle w:val="TableText"/>
              <w:spacing w:before="30" w:after="30"/>
              <w:jc w:val="center"/>
            </w:pPr>
            <w:r w:rsidRPr="00430317">
              <w:t>135</w:t>
            </w:r>
          </w:p>
        </w:tc>
        <w:tc>
          <w:tcPr>
            <w:tcW w:w="1418" w:type="dxa"/>
            <w:shd w:val="clear" w:color="auto" w:fill="auto"/>
          </w:tcPr>
          <w:p w14:paraId="041E3461" w14:textId="77777777" w:rsidR="003741ED" w:rsidRPr="00430317" w:rsidRDefault="003741ED" w:rsidP="00F727E9">
            <w:pPr>
              <w:pStyle w:val="TableText"/>
              <w:spacing w:before="30" w:after="30"/>
              <w:jc w:val="center"/>
            </w:pPr>
            <w:r w:rsidRPr="00430317">
              <w:rPr>
                <w:w w:val="101"/>
              </w:rPr>
              <w:t>3094–3114</w:t>
            </w:r>
          </w:p>
        </w:tc>
      </w:tr>
      <w:tr w:rsidR="003741ED" w:rsidRPr="00430317" w14:paraId="041E346B" w14:textId="77777777" w:rsidTr="002B1E0A">
        <w:trPr>
          <w:cantSplit/>
        </w:trPr>
        <w:tc>
          <w:tcPr>
            <w:tcW w:w="567" w:type="dxa"/>
            <w:shd w:val="clear" w:color="auto" w:fill="auto"/>
          </w:tcPr>
          <w:p w14:paraId="041E3463" w14:textId="77777777" w:rsidR="003741ED" w:rsidRPr="00430317" w:rsidRDefault="003741ED" w:rsidP="00F727E9">
            <w:pPr>
              <w:pStyle w:val="TableText"/>
              <w:spacing w:before="30" w:after="30"/>
              <w:jc w:val="center"/>
            </w:pPr>
            <w:r w:rsidRPr="00430317">
              <w:t>16</w:t>
            </w:r>
          </w:p>
        </w:tc>
        <w:tc>
          <w:tcPr>
            <w:tcW w:w="1488" w:type="dxa"/>
            <w:tcBorders>
              <w:right w:val="single" w:sz="4" w:space="0" w:color="A6A6A6" w:themeColor="background1" w:themeShade="A6"/>
            </w:tcBorders>
            <w:shd w:val="clear" w:color="auto" w:fill="auto"/>
          </w:tcPr>
          <w:p w14:paraId="041E3464" w14:textId="77777777" w:rsidR="003741ED" w:rsidRPr="00430317" w:rsidRDefault="003741ED" w:rsidP="00F727E9">
            <w:pPr>
              <w:pStyle w:val="TableText"/>
              <w:spacing w:before="30" w:after="30"/>
              <w:jc w:val="center"/>
            </w:pPr>
            <w:r w:rsidRPr="00430317">
              <w:rPr>
                <w:w w:val="101"/>
              </w:rPr>
              <w:t>470–493</w:t>
            </w:r>
          </w:p>
        </w:tc>
        <w:tc>
          <w:tcPr>
            <w:tcW w:w="497" w:type="dxa"/>
            <w:tcBorders>
              <w:left w:val="single" w:sz="4" w:space="0" w:color="A6A6A6" w:themeColor="background1" w:themeShade="A6"/>
            </w:tcBorders>
            <w:shd w:val="clear" w:color="auto" w:fill="auto"/>
          </w:tcPr>
          <w:p w14:paraId="041E3465" w14:textId="77777777" w:rsidR="003741ED" w:rsidRPr="00430317" w:rsidRDefault="003741ED" w:rsidP="00F727E9">
            <w:pPr>
              <w:pStyle w:val="TableText"/>
              <w:spacing w:before="30" w:after="30"/>
              <w:jc w:val="center"/>
            </w:pPr>
            <w:r w:rsidRPr="00430317">
              <w:t>56</w:t>
            </w:r>
          </w:p>
        </w:tc>
        <w:tc>
          <w:tcPr>
            <w:tcW w:w="1559" w:type="dxa"/>
            <w:tcBorders>
              <w:right w:val="single" w:sz="4" w:space="0" w:color="A6A6A6" w:themeColor="background1" w:themeShade="A6"/>
            </w:tcBorders>
            <w:shd w:val="clear" w:color="auto" w:fill="auto"/>
          </w:tcPr>
          <w:p w14:paraId="041E3466" w14:textId="77777777" w:rsidR="003741ED" w:rsidRPr="00430317" w:rsidRDefault="003741ED" w:rsidP="00F727E9">
            <w:pPr>
              <w:pStyle w:val="TableText"/>
              <w:spacing w:before="30" w:after="30"/>
              <w:jc w:val="center"/>
            </w:pPr>
            <w:r w:rsidRPr="00430317">
              <w:rPr>
                <w:w w:val="101"/>
              </w:rPr>
              <w:t>1382–1403</w:t>
            </w:r>
          </w:p>
        </w:tc>
        <w:tc>
          <w:tcPr>
            <w:tcW w:w="425" w:type="dxa"/>
            <w:tcBorders>
              <w:left w:val="single" w:sz="4" w:space="0" w:color="A6A6A6" w:themeColor="background1" w:themeShade="A6"/>
            </w:tcBorders>
            <w:shd w:val="clear" w:color="auto" w:fill="auto"/>
          </w:tcPr>
          <w:p w14:paraId="041E3467" w14:textId="77777777" w:rsidR="003741ED" w:rsidRPr="00430317" w:rsidRDefault="003741ED" w:rsidP="00F727E9">
            <w:pPr>
              <w:pStyle w:val="TableText"/>
              <w:spacing w:before="30" w:after="30"/>
              <w:jc w:val="center"/>
            </w:pPr>
            <w:r w:rsidRPr="00430317">
              <w:t>96</w:t>
            </w:r>
          </w:p>
        </w:tc>
        <w:tc>
          <w:tcPr>
            <w:tcW w:w="1488" w:type="dxa"/>
            <w:tcBorders>
              <w:right w:val="single" w:sz="4" w:space="0" w:color="A6A6A6" w:themeColor="background1" w:themeShade="A6"/>
            </w:tcBorders>
            <w:shd w:val="clear" w:color="auto" w:fill="auto"/>
          </w:tcPr>
          <w:p w14:paraId="041E3468" w14:textId="77777777" w:rsidR="003741ED" w:rsidRPr="00430317" w:rsidRDefault="003741ED" w:rsidP="00F727E9">
            <w:pPr>
              <w:pStyle w:val="TableText"/>
              <w:spacing w:before="30" w:after="30"/>
              <w:jc w:val="center"/>
            </w:pPr>
            <w:r w:rsidRPr="00430317">
              <w:rPr>
                <w:w w:val="101"/>
              </w:rPr>
              <w:t>2256–2276</w:t>
            </w:r>
          </w:p>
        </w:tc>
        <w:tc>
          <w:tcPr>
            <w:tcW w:w="639" w:type="dxa"/>
            <w:tcBorders>
              <w:left w:val="single" w:sz="4" w:space="0" w:color="A6A6A6" w:themeColor="background1" w:themeShade="A6"/>
            </w:tcBorders>
            <w:shd w:val="clear" w:color="auto" w:fill="auto"/>
          </w:tcPr>
          <w:p w14:paraId="041E3469" w14:textId="77777777" w:rsidR="003741ED" w:rsidRPr="00430317" w:rsidRDefault="003741ED" w:rsidP="00F727E9">
            <w:pPr>
              <w:pStyle w:val="TableText"/>
              <w:spacing w:before="30" w:after="30"/>
              <w:jc w:val="center"/>
            </w:pPr>
            <w:r w:rsidRPr="00430317">
              <w:t>136</w:t>
            </w:r>
          </w:p>
        </w:tc>
        <w:tc>
          <w:tcPr>
            <w:tcW w:w="1418" w:type="dxa"/>
            <w:shd w:val="clear" w:color="auto" w:fill="auto"/>
          </w:tcPr>
          <w:p w14:paraId="041E346A" w14:textId="77777777" w:rsidR="003741ED" w:rsidRPr="00430317" w:rsidRDefault="003741ED" w:rsidP="00F727E9">
            <w:pPr>
              <w:pStyle w:val="TableText"/>
              <w:spacing w:before="30" w:after="30"/>
              <w:jc w:val="center"/>
            </w:pPr>
            <w:r w:rsidRPr="00430317">
              <w:rPr>
                <w:w w:val="101"/>
              </w:rPr>
              <w:t>3115–3136</w:t>
            </w:r>
          </w:p>
        </w:tc>
      </w:tr>
      <w:tr w:rsidR="003741ED" w:rsidRPr="00430317" w14:paraId="041E3474" w14:textId="77777777" w:rsidTr="002B1E0A">
        <w:trPr>
          <w:cantSplit/>
        </w:trPr>
        <w:tc>
          <w:tcPr>
            <w:tcW w:w="567" w:type="dxa"/>
            <w:shd w:val="clear" w:color="auto" w:fill="auto"/>
          </w:tcPr>
          <w:p w14:paraId="041E346C" w14:textId="77777777" w:rsidR="003741ED" w:rsidRPr="00430317" w:rsidRDefault="003741ED" w:rsidP="00F727E9">
            <w:pPr>
              <w:pStyle w:val="TableText"/>
              <w:spacing w:before="30" w:after="30"/>
              <w:jc w:val="center"/>
            </w:pPr>
            <w:r w:rsidRPr="00430317">
              <w:t>17</w:t>
            </w:r>
          </w:p>
        </w:tc>
        <w:tc>
          <w:tcPr>
            <w:tcW w:w="1488" w:type="dxa"/>
            <w:tcBorders>
              <w:right w:val="single" w:sz="4" w:space="0" w:color="A6A6A6" w:themeColor="background1" w:themeShade="A6"/>
            </w:tcBorders>
            <w:shd w:val="clear" w:color="auto" w:fill="auto"/>
          </w:tcPr>
          <w:p w14:paraId="041E346D" w14:textId="77777777" w:rsidR="003741ED" w:rsidRPr="00430317" w:rsidRDefault="003741ED" w:rsidP="00F727E9">
            <w:pPr>
              <w:pStyle w:val="TableText"/>
              <w:spacing w:before="30" w:after="30"/>
              <w:jc w:val="center"/>
            </w:pPr>
            <w:r w:rsidRPr="00430317">
              <w:rPr>
                <w:w w:val="101"/>
              </w:rPr>
              <w:t>494–517</w:t>
            </w:r>
          </w:p>
        </w:tc>
        <w:tc>
          <w:tcPr>
            <w:tcW w:w="497" w:type="dxa"/>
            <w:tcBorders>
              <w:left w:val="single" w:sz="4" w:space="0" w:color="A6A6A6" w:themeColor="background1" w:themeShade="A6"/>
            </w:tcBorders>
            <w:shd w:val="clear" w:color="auto" w:fill="auto"/>
          </w:tcPr>
          <w:p w14:paraId="041E346E" w14:textId="77777777" w:rsidR="003741ED" w:rsidRPr="00430317" w:rsidRDefault="003741ED" w:rsidP="00F727E9">
            <w:pPr>
              <w:pStyle w:val="TableText"/>
              <w:spacing w:before="30" w:after="30"/>
              <w:jc w:val="center"/>
            </w:pPr>
            <w:r w:rsidRPr="00430317">
              <w:t>57</w:t>
            </w:r>
          </w:p>
        </w:tc>
        <w:tc>
          <w:tcPr>
            <w:tcW w:w="1559" w:type="dxa"/>
            <w:tcBorders>
              <w:right w:val="single" w:sz="4" w:space="0" w:color="A6A6A6" w:themeColor="background1" w:themeShade="A6"/>
            </w:tcBorders>
            <w:shd w:val="clear" w:color="auto" w:fill="auto"/>
          </w:tcPr>
          <w:p w14:paraId="041E346F" w14:textId="77777777" w:rsidR="003741ED" w:rsidRPr="00430317" w:rsidRDefault="003741ED" w:rsidP="00F727E9">
            <w:pPr>
              <w:pStyle w:val="TableText"/>
              <w:spacing w:before="30" w:after="30"/>
              <w:jc w:val="center"/>
            </w:pPr>
            <w:r w:rsidRPr="00430317">
              <w:rPr>
                <w:w w:val="101"/>
              </w:rPr>
              <w:t>1404–1425</w:t>
            </w:r>
          </w:p>
        </w:tc>
        <w:tc>
          <w:tcPr>
            <w:tcW w:w="425" w:type="dxa"/>
            <w:tcBorders>
              <w:left w:val="single" w:sz="4" w:space="0" w:color="A6A6A6" w:themeColor="background1" w:themeShade="A6"/>
            </w:tcBorders>
            <w:shd w:val="clear" w:color="auto" w:fill="auto"/>
          </w:tcPr>
          <w:p w14:paraId="041E3470" w14:textId="77777777" w:rsidR="003741ED" w:rsidRPr="00430317" w:rsidRDefault="003741ED" w:rsidP="00F727E9">
            <w:pPr>
              <w:pStyle w:val="TableText"/>
              <w:spacing w:before="30" w:after="30"/>
              <w:jc w:val="center"/>
            </w:pPr>
            <w:r w:rsidRPr="00430317">
              <w:t>97</w:t>
            </w:r>
          </w:p>
        </w:tc>
        <w:tc>
          <w:tcPr>
            <w:tcW w:w="1488" w:type="dxa"/>
            <w:tcBorders>
              <w:right w:val="single" w:sz="4" w:space="0" w:color="A6A6A6" w:themeColor="background1" w:themeShade="A6"/>
            </w:tcBorders>
            <w:shd w:val="clear" w:color="auto" w:fill="auto"/>
          </w:tcPr>
          <w:p w14:paraId="041E3471" w14:textId="77777777" w:rsidR="003741ED" w:rsidRPr="00430317" w:rsidRDefault="003741ED" w:rsidP="00F727E9">
            <w:pPr>
              <w:pStyle w:val="TableText"/>
              <w:spacing w:before="30" w:after="30"/>
              <w:jc w:val="center"/>
            </w:pPr>
            <w:r w:rsidRPr="00430317">
              <w:rPr>
                <w:w w:val="101"/>
              </w:rPr>
              <w:t>2277–2298</w:t>
            </w:r>
          </w:p>
        </w:tc>
        <w:tc>
          <w:tcPr>
            <w:tcW w:w="639" w:type="dxa"/>
            <w:tcBorders>
              <w:left w:val="single" w:sz="4" w:space="0" w:color="A6A6A6" w:themeColor="background1" w:themeShade="A6"/>
            </w:tcBorders>
            <w:shd w:val="clear" w:color="auto" w:fill="auto"/>
          </w:tcPr>
          <w:p w14:paraId="041E3472" w14:textId="77777777" w:rsidR="003741ED" w:rsidRPr="00430317" w:rsidRDefault="003741ED" w:rsidP="00F727E9">
            <w:pPr>
              <w:pStyle w:val="TableText"/>
              <w:spacing w:before="30" w:after="30"/>
              <w:jc w:val="center"/>
            </w:pPr>
            <w:r w:rsidRPr="00430317">
              <w:t>137</w:t>
            </w:r>
          </w:p>
        </w:tc>
        <w:tc>
          <w:tcPr>
            <w:tcW w:w="1418" w:type="dxa"/>
            <w:shd w:val="clear" w:color="auto" w:fill="auto"/>
          </w:tcPr>
          <w:p w14:paraId="041E3473" w14:textId="77777777" w:rsidR="003741ED" w:rsidRPr="00430317" w:rsidRDefault="003741ED" w:rsidP="00F727E9">
            <w:pPr>
              <w:pStyle w:val="TableText"/>
              <w:spacing w:before="30" w:after="30"/>
              <w:jc w:val="center"/>
            </w:pPr>
            <w:r w:rsidRPr="00430317">
              <w:rPr>
                <w:w w:val="101"/>
              </w:rPr>
              <w:t>3137–3157</w:t>
            </w:r>
          </w:p>
        </w:tc>
      </w:tr>
      <w:tr w:rsidR="003741ED" w:rsidRPr="00430317" w14:paraId="041E347D" w14:textId="77777777" w:rsidTr="002B1E0A">
        <w:trPr>
          <w:cantSplit/>
        </w:trPr>
        <w:tc>
          <w:tcPr>
            <w:tcW w:w="567" w:type="dxa"/>
            <w:shd w:val="clear" w:color="auto" w:fill="auto"/>
          </w:tcPr>
          <w:p w14:paraId="041E3475" w14:textId="77777777" w:rsidR="003741ED" w:rsidRPr="00430317" w:rsidRDefault="003741ED" w:rsidP="00F727E9">
            <w:pPr>
              <w:pStyle w:val="TableText"/>
              <w:spacing w:before="30" w:after="30"/>
              <w:jc w:val="center"/>
            </w:pPr>
            <w:r w:rsidRPr="00430317">
              <w:t>18</w:t>
            </w:r>
          </w:p>
        </w:tc>
        <w:tc>
          <w:tcPr>
            <w:tcW w:w="1488" w:type="dxa"/>
            <w:tcBorders>
              <w:right w:val="single" w:sz="4" w:space="0" w:color="A6A6A6" w:themeColor="background1" w:themeShade="A6"/>
            </w:tcBorders>
            <w:shd w:val="clear" w:color="auto" w:fill="auto"/>
          </w:tcPr>
          <w:p w14:paraId="041E3476" w14:textId="77777777" w:rsidR="003741ED" w:rsidRPr="00430317" w:rsidRDefault="003741ED" w:rsidP="00F727E9">
            <w:pPr>
              <w:pStyle w:val="TableText"/>
              <w:spacing w:before="30" w:after="30"/>
              <w:jc w:val="center"/>
            </w:pPr>
            <w:r w:rsidRPr="00430317">
              <w:rPr>
                <w:w w:val="101"/>
              </w:rPr>
              <w:t>518–541</w:t>
            </w:r>
          </w:p>
        </w:tc>
        <w:tc>
          <w:tcPr>
            <w:tcW w:w="497" w:type="dxa"/>
            <w:tcBorders>
              <w:left w:val="single" w:sz="4" w:space="0" w:color="A6A6A6" w:themeColor="background1" w:themeShade="A6"/>
            </w:tcBorders>
            <w:shd w:val="clear" w:color="auto" w:fill="auto"/>
          </w:tcPr>
          <w:p w14:paraId="041E3477" w14:textId="77777777" w:rsidR="003741ED" w:rsidRPr="00430317" w:rsidRDefault="003741ED" w:rsidP="00F727E9">
            <w:pPr>
              <w:pStyle w:val="TableText"/>
              <w:spacing w:before="30" w:after="30"/>
              <w:jc w:val="center"/>
            </w:pPr>
            <w:r w:rsidRPr="00430317">
              <w:t>58</w:t>
            </w:r>
          </w:p>
        </w:tc>
        <w:tc>
          <w:tcPr>
            <w:tcW w:w="1559" w:type="dxa"/>
            <w:tcBorders>
              <w:right w:val="single" w:sz="4" w:space="0" w:color="A6A6A6" w:themeColor="background1" w:themeShade="A6"/>
            </w:tcBorders>
            <w:shd w:val="clear" w:color="auto" w:fill="auto"/>
          </w:tcPr>
          <w:p w14:paraId="041E3478" w14:textId="77777777" w:rsidR="003741ED" w:rsidRPr="00430317" w:rsidRDefault="003741ED" w:rsidP="00F727E9">
            <w:pPr>
              <w:pStyle w:val="TableText"/>
              <w:spacing w:before="30" w:after="30"/>
              <w:jc w:val="center"/>
            </w:pPr>
            <w:r w:rsidRPr="00430317">
              <w:rPr>
                <w:w w:val="101"/>
              </w:rPr>
              <w:t>1426–1447</w:t>
            </w:r>
          </w:p>
        </w:tc>
        <w:tc>
          <w:tcPr>
            <w:tcW w:w="425" w:type="dxa"/>
            <w:tcBorders>
              <w:left w:val="single" w:sz="4" w:space="0" w:color="A6A6A6" w:themeColor="background1" w:themeShade="A6"/>
            </w:tcBorders>
            <w:shd w:val="clear" w:color="auto" w:fill="auto"/>
          </w:tcPr>
          <w:p w14:paraId="041E3479" w14:textId="77777777" w:rsidR="003741ED" w:rsidRPr="00430317" w:rsidRDefault="003741ED" w:rsidP="00F727E9">
            <w:pPr>
              <w:pStyle w:val="TableText"/>
              <w:spacing w:before="30" w:after="30"/>
              <w:jc w:val="center"/>
            </w:pPr>
            <w:r w:rsidRPr="00430317">
              <w:t>98</w:t>
            </w:r>
          </w:p>
        </w:tc>
        <w:tc>
          <w:tcPr>
            <w:tcW w:w="1488" w:type="dxa"/>
            <w:tcBorders>
              <w:right w:val="single" w:sz="4" w:space="0" w:color="A6A6A6" w:themeColor="background1" w:themeShade="A6"/>
            </w:tcBorders>
            <w:shd w:val="clear" w:color="auto" w:fill="auto"/>
          </w:tcPr>
          <w:p w14:paraId="041E347A" w14:textId="77777777" w:rsidR="003741ED" w:rsidRPr="00430317" w:rsidRDefault="003741ED" w:rsidP="00F727E9">
            <w:pPr>
              <w:pStyle w:val="TableText"/>
              <w:spacing w:before="30" w:after="30"/>
              <w:jc w:val="center"/>
            </w:pPr>
            <w:r w:rsidRPr="00430317">
              <w:rPr>
                <w:w w:val="101"/>
              </w:rPr>
              <w:t>2299–2320</w:t>
            </w:r>
          </w:p>
        </w:tc>
        <w:tc>
          <w:tcPr>
            <w:tcW w:w="639" w:type="dxa"/>
            <w:tcBorders>
              <w:left w:val="single" w:sz="4" w:space="0" w:color="A6A6A6" w:themeColor="background1" w:themeShade="A6"/>
            </w:tcBorders>
            <w:shd w:val="clear" w:color="auto" w:fill="auto"/>
          </w:tcPr>
          <w:p w14:paraId="041E347B" w14:textId="77777777" w:rsidR="003741ED" w:rsidRPr="00430317" w:rsidRDefault="003741ED" w:rsidP="00F727E9">
            <w:pPr>
              <w:pStyle w:val="TableText"/>
              <w:spacing w:before="30" w:after="30"/>
              <w:jc w:val="center"/>
            </w:pPr>
            <w:r w:rsidRPr="00430317">
              <w:t>138</w:t>
            </w:r>
          </w:p>
        </w:tc>
        <w:tc>
          <w:tcPr>
            <w:tcW w:w="1418" w:type="dxa"/>
            <w:shd w:val="clear" w:color="auto" w:fill="auto"/>
          </w:tcPr>
          <w:p w14:paraId="041E347C" w14:textId="77777777" w:rsidR="003741ED" w:rsidRPr="00430317" w:rsidRDefault="003741ED" w:rsidP="00F727E9">
            <w:pPr>
              <w:pStyle w:val="TableText"/>
              <w:spacing w:before="30" w:after="30"/>
              <w:jc w:val="center"/>
            </w:pPr>
            <w:r w:rsidRPr="00430317">
              <w:rPr>
                <w:w w:val="101"/>
              </w:rPr>
              <w:t>3158–3178</w:t>
            </w:r>
          </w:p>
        </w:tc>
      </w:tr>
      <w:tr w:rsidR="003741ED" w:rsidRPr="00430317" w14:paraId="041E3486" w14:textId="77777777" w:rsidTr="002B1E0A">
        <w:trPr>
          <w:cantSplit/>
        </w:trPr>
        <w:tc>
          <w:tcPr>
            <w:tcW w:w="567" w:type="dxa"/>
            <w:shd w:val="clear" w:color="auto" w:fill="auto"/>
          </w:tcPr>
          <w:p w14:paraId="041E347E" w14:textId="77777777" w:rsidR="003741ED" w:rsidRPr="00430317" w:rsidRDefault="003741ED" w:rsidP="00F727E9">
            <w:pPr>
              <w:pStyle w:val="TableText"/>
              <w:spacing w:before="30" w:after="30"/>
              <w:jc w:val="center"/>
            </w:pPr>
            <w:r w:rsidRPr="00430317">
              <w:t>19</w:t>
            </w:r>
          </w:p>
        </w:tc>
        <w:tc>
          <w:tcPr>
            <w:tcW w:w="1488" w:type="dxa"/>
            <w:tcBorders>
              <w:right w:val="single" w:sz="4" w:space="0" w:color="A6A6A6" w:themeColor="background1" w:themeShade="A6"/>
            </w:tcBorders>
            <w:shd w:val="clear" w:color="auto" w:fill="auto"/>
          </w:tcPr>
          <w:p w14:paraId="041E347F" w14:textId="77777777" w:rsidR="003741ED" w:rsidRPr="00430317" w:rsidRDefault="003741ED" w:rsidP="00F727E9">
            <w:pPr>
              <w:pStyle w:val="TableText"/>
              <w:spacing w:before="30" w:after="30"/>
              <w:jc w:val="center"/>
            </w:pPr>
            <w:r w:rsidRPr="00430317">
              <w:rPr>
                <w:w w:val="101"/>
              </w:rPr>
              <w:t>542–564</w:t>
            </w:r>
          </w:p>
        </w:tc>
        <w:tc>
          <w:tcPr>
            <w:tcW w:w="497" w:type="dxa"/>
            <w:tcBorders>
              <w:left w:val="single" w:sz="4" w:space="0" w:color="A6A6A6" w:themeColor="background1" w:themeShade="A6"/>
            </w:tcBorders>
            <w:shd w:val="clear" w:color="auto" w:fill="auto"/>
          </w:tcPr>
          <w:p w14:paraId="041E3480" w14:textId="77777777" w:rsidR="003741ED" w:rsidRPr="00430317" w:rsidRDefault="003741ED" w:rsidP="00F727E9">
            <w:pPr>
              <w:pStyle w:val="TableText"/>
              <w:spacing w:before="30" w:after="30"/>
              <w:jc w:val="center"/>
            </w:pPr>
            <w:r w:rsidRPr="00430317">
              <w:t>59</w:t>
            </w:r>
          </w:p>
        </w:tc>
        <w:tc>
          <w:tcPr>
            <w:tcW w:w="1559" w:type="dxa"/>
            <w:tcBorders>
              <w:right w:val="single" w:sz="4" w:space="0" w:color="A6A6A6" w:themeColor="background1" w:themeShade="A6"/>
            </w:tcBorders>
            <w:shd w:val="clear" w:color="auto" w:fill="auto"/>
          </w:tcPr>
          <w:p w14:paraId="041E3481" w14:textId="77777777" w:rsidR="003741ED" w:rsidRPr="00430317" w:rsidRDefault="003741ED" w:rsidP="00F727E9">
            <w:pPr>
              <w:pStyle w:val="TableText"/>
              <w:spacing w:before="30" w:after="30"/>
              <w:jc w:val="center"/>
            </w:pPr>
            <w:r w:rsidRPr="00430317">
              <w:rPr>
                <w:w w:val="101"/>
              </w:rPr>
              <w:t>1448–1469</w:t>
            </w:r>
          </w:p>
        </w:tc>
        <w:tc>
          <w:tcPr>
            <w:tcW w:w="425" w:type="dxa"/>
            <w:tcBorders>
              <w:left w:val="single" w:sz="4" w:space="0" w:color="A6A6A6" w:themeColor="background1" w:themeShade="A6"/>
            </w:tcBorders>
            <w:shd w:val="clear" w:color="auto" w:fill="auto"/>
          </w:tcPr>
          <w:p w14:paraId="041E3482" w14:textId="77777777" w:rsidR="003741ED" w:rsidRPr="00430317" w:rsidRDefault="003741ED" w:rsidP="00F727E9">
            <w:pPr>
              <w:pStyle w:val="TableText"/>
              <w:spacing w:before="30" w:after="30"/>
              <w:jc w:val="center"/>
            </w:pPr>
            <w:r w:rsidRPr="00430317">
              <w:t>99</w:t>
            </w:r>
          </w:p>
        </w:tc>
        <w:tc>
          <w:tcPr>
            <w:tcW w:w="1488" w:type="dxa"/>
            <w:tcBorders>
              <w:right w:val="single" w:sz="4" w:space="0" w:color="A6A6A6" w:themeColor="background1" w:themeShade="A6"/>
            </w:tcBorders>
            <w:shd w:val="clear" w:color="auto" w:fill="auto"/>
          </w:tcPr>
          <w:p w14:paraId="041E3483" w14:textId="77777777" w:rsidR="003741ED" w:rsidRPr="00430317" w:rsidRDefault="003741ED" w:rsidP="00F727E9">
            <w:pPr>
              <w:pStyle w:val="TableText"/>
              <w:spacing w:before="30" w:after="30"/>
              <w:jc w:val="center"/>
            </w:pPr>
            <w:r w:rsidRPr="00430317">
              <w:rPr>
                <w:w w:val="101"/>
              </w:rPr>
              <w:t>2321–2341</w:t>
            </w:r>
          </w:p>
        </w:tc>
        <w:tc>
          <w:tcPr>
            <w:tcW w:w="639" w:type="dxa"/>
            <w:tcBorders>
              <w:left w:val="single" w:sz="4" w:space="0" w:color="A6A6A6" w:themeColor="background1" w:themeShade="A6"/>
            </w:tcBorders>
            <w:shd w:val="clear" w:color="auto" w:fill="auto"/>
          </w:tcPr>
          <w:p w14:paraId="041E3484" w14:textId="77777777" w:rsidR="003741ED" w:rsidRPr="00430317" w:rsidRDefault="003741ED" w:rsidP="00F727E9">
            <w:pPr>
              <w:pStyle w:val="TableText"/>
              <w:spacing w:before="30" w:after="30"/>
              <w:jc w:val="center"/>
            </w:pPr>
            <w:r w:rsidRPr="00430317">
              <w:t>139</w:t>
            </w:r>
          </w:p>
        </w:tc>
        <w:tc>
          <w:tcPr>
            <w:tcW w:w="1418" w:type="dxa"/>
            <w:shd w:val="clear" w:color="auto" w:fill="auto"/>
          </w:tcPr>
          <w:p w14:paraId="041E3485" w14:textId="77777777" w:rsidR="003741ED" w:rsidRPr="00430317" w:rsidRDefault="003741ED" w:rsidP="00F727E9">
            <w:pPr>
              <w:pStyle w:val="TableText"/>
              <w:spacing w:before="30" w:after="30"/>
              <w:jc w:val="center"/>
            </w:pPr>
            <w:r w:rsidRPr="00430317">
              <w:rPr>
                <w:w w:val="101"/>
              </w:rPr>
              <w:t>3179–3200</w:t>
            </w:r>
          </w:p>
        </w:tc>
      </w:tr>
      <w:tr w:rsidR="003741ED" w:rsidRPr="00430317" w14:paraId="041E348F" w14:textId="77777777" w:rsidTr="002B1E0A">
        <w:trPr>
          <w:cantSplit/>
        </w:trPr>
        <w:tc>
          <w:tcPr>
            <w:tcW w:w="567" w:type="dxa"/>
            <w:shd w:val="clear" w:color="auto" w:fill="auto"/>
          </w:tcPr>
          <w:p w14:paraId="041E3487" w14:textId="77777777" w:rsidR="003741ED" w:rsidRPr="00430317" w:rsidRDefault="003741ED" w:rsidP="00F727E9">
            <w:pPr>
              <w:pStyle w:val="TableText"/>
              <w:spacing w:before="30" w:after="30"/>
              <w:jc w:val="center"/>
            </w:pPr>
            <w:r w:rsidRPr="00430317">
              <w:t>20</w:t>
            </w:r>
          </w:p>
        </w:tc>
        <w:tc>
          <w:tcPr>
            <w:tcW w:w="1488" w:type="dxa"/>
            <w:tcBorders>
              <w:right w:val="single" w:sz="4" w:space="0" w:color="A6A6A6" w:themeColor="background1" w:themeShade="A6"/>
            </w:tcBorders>
            <w:shd w:val="clear" w:color="auto" w:fill="auto"/>
          </w:tcPr>
          <w:p w14:paraId="041E3488" w14:textId="77777777" w:rsidR="003741ED" w:rsidRPr="00430317" w:rsidRDefault="003741ED" w:rsidP="00F727E9">
            <w:pPr>
              <w:pStyle w:val="TableText"/>
              <w:spacing w:before="30" w:after="30"/>
              <w:jc w:val="center"/>
            </w:pPr>
            <w:r w:rsidRPr="00430317">
              <w:rPr>
                <w:w w:val="101"/>
              </w:rPr>
              <w:t>565–588</w:t>
            </w:r>
          </w:p>
        </w:tc>
        <w:tc>
          <w:tcPr>
            <w:tcW w:w="497" w:type="dxa"/>
            <w:tcBorders>
              <w:left w:val="single" w:sz="4" w:space="0" w:color="A6A6A6" w:themeColor="background1" w:themeShade="A6"/>
            </w:tcBorders>
            <w:shd w:val="clear" w:color="auto" w:fill="auto"/>
          </w:tcPr>
          <w:p w14:paraId="041E3489" w14:textId="77777777" w:rsidR="003741ED" w:rsidRPr="00430317" w:rsidRDefault="003741ED" w:rsidP="00F727E9">
            <w:pPr>
              <w:pStyle w:val="TableText"/>
              <w:spacing w:before="30" w:after="30"/>
              <w:jc w:val="center"/>
            </w:pPr>
            <w:r w:rsidRPr="00430317">
              <w:t>60</w:t>
            </w:r>
          </w:p>
        </w:tc>
        <w:tc>
          <w:tcPr>
            <w:tcW w:w="1559" w:type="dxa"/>
            <w:tcBorders>
              <w:right w:val="single" w:sz="4" w:space="0" w:color="A6A6A6" w:themeColor="background1" w:themeShade="A6"/>
            </w:tcBorders>
            <w:shd w:val="clear" w:color="auto" w:fill="auto"/>
          </w:tcPr>
          <w:p w14:paraId="041E348A" w14:textId="77777777" w:rsidR="003741ED" w:rsidRPr="00430317" w:rsidRDefault="003741ED" w:rsidP="00F727E9">
            <w:pPr>
              <w:pStyle w:val="TableText"/>
              <w:spacing w:before="30" w:after="30"/>
              <w:jc w:val="center"/>
            </w:pPr>
            <w:r w:rsidRPr="00430317">
              <w:rPr>
                <w:w w:val="101"/>
              </w:rPr>
              <w:t>1470–1491</w:t>
            </w:r>
          </w:p>
        </w:tc>
        <w:tc>
          <w:tcPr>
            <w:tcW w:w="425" w:type="dxa"/>
            <w:tcBorders>
              <w:left w:val="single" w:sz="4" w:space="0" w:color="A6A6A6" w:themeColor="background1" w:themeShade="A6"/>
            </w:tcBorders>
            <w:shd w:val="clear" w:color="auto" w:fill="auto"/>
          </w:tcPr>
          <w:p w14:paraId="041E348B" w14:textId="77777777" w:rsidR="003741ED" w:rsidRPr="00430317" w:rsidRDefault="003741ED" w:rsidP="00F727E9">
            <w:pPr>
              <w:pStyle w:val="TableText"/>
              <w:spacing w:before="30" w:after="30"/>
              <w:jc w:val="center"/>
            </w:pPr>
            <w:r w:rsidRPr="00430317">
              <w:t>100</w:t>
            </w:r>
          </w:p>
        </w:tc>
        <w:tc>
          <w:tcPr>
            <w:tcW w:w="1488" w:type="dxa"/>
            <w:tcBorders>
              <w:right w:val="single" w:sz="4" w:space="0" w:color="A6A6A6" w:themeColor="background1" w:themeShade="A6"/>
            </w:tcBorders>
            <w:shd w:val="clear" w:color="auto" w:fill="auto"/>
          </w:tcPr>
          <w:p w14:paraId="041E348C" w14:textId="77777777" w:rsidR="003741ED" w:rsidRPr="00430317" w:rsidRDefault="003741ED" w:rsidP="00F727E9">
            <w:pPr>
              <w:pStyle w:val="TableText"/>
              <w:spacing w:before="30" w:after="30"/>
              <w:jc w:val="center"/>
            </w:pPr>
            <w:r w:rsidRPr="00430317">
              <w:rPr>
                <w:w w:val="101"/>
              </w:rPr>
              <w:t>2342–2363</w:t>
            </w:r>
          </w:p>
        </w:tc>
        <w:tc>
          <w:tcPr>
            <w:tcW w:w="639" w:type="dxa"/>
            <w:tcBorders>
              <w:left w:val="single" w:sz="4" w:space="0" w:color="A6A6A6" w:themeColor="background1" w:themeShade="A6"/>
            </w:tcBorders>
            <w:shd w:val="clear" w:color="auto" w:fill="auto"/>
          </w:tcPr>
          <w:p w14:paraId="041E348D" w14:textId="77777777" w:rsidR="003741ED" w:rsidRPr="00430317" w:rsidRDefault="003741ED" w:rsidP="00F727E9">
            <w:pPr>
              <w:pStyle w:val="TableText"/>
              <w:spacing w:before="30" w:after="30"/>
              <w:jc w:val="center"/>
            </w:pPr>
            <w:r w:rsidRPr="00430317">
              <w:t>140</w:t>
            </w:r>
          </w:p>
        </w:tc>
        <w:tc>
          <w:tcPr>
            <w:tcW w:w="1418" w:type="dxa"/>
            <w:shd w:val="clear" w:color="auto" w:fill="auto"/>
          </w:tcPr>
          <w:p w14:paraId="041E348E" w14:textId="77777777" w:rsidR="003741ED" w:rsidRPr="00430317" w:rsidRDefault="003741ED" w:rsidP="00F727E9">
            <w:pPr>
              <w:pStyle w:val="TableText"/>
              <w:spacing w:before="30" w:after="30"/>
              <w:jc w:val="center"/>
            </w:pPr>
            <w:r w:rsidRPr="00430317">
              <w:rPr>
                <w:w w:val="101"/>
              </w:rPr>
              <w:t>3201–3221</w:t>
            </w:r>
          </w:p>
        </w:tc>
      </w:tr>
      <w:tr w:rsidR="003741ED" w:rsidRPr="00430317" w14:paraId="041E3498" w14:textId="77777777" w:rsidTr="002B1E0A">
        <w:trPr>
          <w:cantSplit/>
        </w:trPr>
        <w:tc>
          <w:tcPr>
            <w:tcW w:w="567" w:type="dxa"/>
            <w:shd w:val="clear" w:color="auto" w:fill="auto"/>
          </w:tcPr>
          <w:p w14:paraId="041E3490" w14:textId="77777777" w:rsidR="003741ED" w:rsidRPr="00430317" w:rsidRDefault="003741ED" w:rsidP="00F727E9">
            <w:pPr>
              <w:pStyle w:val="TableText"/>
              <w:spacing w:before="30" w:after="30"/>
              <w:jc w:val="center"/>
            </w:pPr>
            <w:r w:rsidRPr="00430317">
              <w:t>21</w:t>
            </w:r>
          </w:p>
        </w:tc>
        <w:tc>
          <w:tcPr>
            <w:tcW w:w="1488" w:type="dxa"/>
            <w:tcBorders>
              <w:right w:val="single" w:sz="4" w:space="0" w:color="A6A6A6" w:themeColor="background1" w:themeShade="A6"/>
            </w:tcBorders>
            <w:shd w:val="clear" w:color="auto" w:fill="auto"/>
          </w:tcPr>
          <w:p w14:paraId="041E3491" w14:textId="77777777" w:rsidR="003741ED" w:rsidRPr="00430317" w:rsidRDefault="003741ED" w:rsidP="00F727E9">
            <w:pPr>
              <w:pStyle w:val="TableText"/>
              <w:spacing w:before="30" w:after="30"/>
              <w:jc w:val="center"/>
            </w:pPr>
            <w:r w:rsidRPr="00430317">
              <w:rPr>
                <w:w w:val="101"/>
              </w:rPr>
              <w:t>589–611</w:t>
            </w:r>
          </w:p>
        </w:tc>
        <w:tc>
          <w:tcPr>
            <w:tcW w:w="497" w:type="dxa"/>
            <w:tcBorders>
              <w:left w:val="single" w:sz="4" w:space="0" w:color="A6A6A6" w:themeColor="background1" w:themeShade="A6"/>
            </w:tcBorders>
            <w:shd w:val="clear" w:color="auto" w:fill="auto"/>
          </w:tcPr>
          <w:p w14:paraId="041E3492" w14:textId="77777777" w:rsidR="003741ED" w:rsidRPr="00430317" w:rsidRDefault="003741ED" w:rsidP="00F727E9">
            <w:pPr>
              <w:pStyle w:val="TableText"/>
              <w:spacing w:before="30" w:after="30"/>
              <w:jc w:val="center"/>
            </w:pPr>
            <w:r w:rsidRPr="00430317">
              <w:t>61</w:t>
            </w:r>
          </w:p>
        </w:tc>
        <w:tc>
          <w:tcPr>
            <w:tcW w:w="1559" w:type="dxa"/>
            <w:tcBorders>
              <w:right w:val="single" w:sz="4" w:space="0" w:color="A6A6A6" w:themeColor="background1" w:themeShade="A6"/>
            </w:tcBorders>
            <w:shd w:val="clear" w:color="auto" w:fill="auto"/>
          </w:tcPr>
          <w:p w14:paraId="041E3493" w14:textId="77777777" w:rsidR="003741ED" w:rsidRPr="00430317" w:rsidRDefault="003741ED" w:rsidP="00F727E9">
            <w:pPr>
              <w:pStyle w:val="TableText"/>
              <w:spacing w:before="30" w:after="30"/>
              <w:jc w:val="center"/>
            </w:pPr>
            <w:r w:rsidRPr="00430317">
              <w:rPr>
                <w:w w:val="101"/>
              </w:rPr>
              <w:t>1492–1513</w:t>
            </w:r>
          </w:p>
        </w:tc>
        <w:tc>
          <w:tcPr>
            <w:tcW w:w="425" w:type="dxa"/>
            <w:tcBorders>
              <w:left w:val="single" w:sz="4" w:space="0" w:color="A6A6A6" w:themeColor="background1" w:themeShade="A6"/>
            </w:tcBorders>
            <w:shd w:val="clear" w:color="auto" w:fill="auto"/>
          </w:tcPr>
          <w:p w14:paraId="041E3494" w14:textId="77777777" w:rsidR="003741ED" w:rsidRPr="00430317" w:rsidRDefault="003741ED" w:rsidP="00F727E9">
            <w:pPr>
              <w:pStyle w:val="TableText"/>
              <w:spacing w:before="30" w:after="30"/>
              <w:jc w:val="center"/>
            </w:pPr>
            <w:r w:rsidRPr="00430317">
              <w:t>101</w:t>
            </w:r>
          </w:p>
        </w:tc>
        <w:tc>
          <w:tcPr>
            <w:tcW w:w="1488" w:type="dxa"/>
            <w:tcBorders>
              <w:right w:val="single" w:sz="4" w:space="0" w:color="A6A6A6" w:themeColor="background1" w:themeShade="A6"/>
            </w:tcBorders>
            <w:shd w:val="clear" w:color="auto" w:fill="auto"/>
          </w:tcPr>
          <w:p w14:paraId="041E3495" w14:textId="77777777" w:rsidR="003741ED" w:rsidRPr="00430317" w:rsidRDefault="003741ED" w:rsidP="00F727E9">
            <w:pPr>
              <w:pStyle w:val="TableText"/>
              <w:spacing w:before="30" w:after="30"/>
              <w:jc w:val="center"/>
            </w:pPr>
            <w:r w:rsidRPr="00430317">
              <w:rPr>
                <w:w w:val="101"/>
              </w:rPr>
              <w:t>2364–2384</w:t>
            </w:r>
          </w:p>
        </w:tc>
        <w:tc>
          <w:tcPr>
            <w:tcW w:w="639" w:type="dxa"/>
            <w:tcBorders>
              <w:left w:val="single" w:sz="4" w:space="0" w:color="A6A6A6" w:themeColor="background1" w:themeShade="A6"/>
            </w:tcBorders>
            <w:shd w:val="clear" w:color="auto" w:fill="auto"/>
          </w:tcPr>
          <w:p w14:paraId="041E3496" w14:textId="77777777" w:rsidR="003741ED" w:rsidRPr="00430317" w:rsidRDefault="003741ED" w:rsidP="00F727E9">
            <w:pPr>
              <w:pStyle w:val="TableText"/>
              <w:spacing w:before="30" w:after="30"/>
              <w:jc w:val="center"/>
            </w:pPr>
            <w:r w:rsidRPr="00430317">
              <w:t>141</w:t>
            </w:r>
          </w:p>
        </w:tc>
        <w:tc>
          <w:tcPr>
            <w:tcW w:w="1418" w:type="dxa"/>
            <w:shd w:val="clear" w:color="auto" w:fill="auto"/>
          </w:tcPr>
          <w:p w14:paraId="041E3497" w14:textId="77777777" w:rsidR="003741ED" w:rsidRPr="00430317" w:rsidRDefault="003741ED" w:rsidP="00F727E9">
            <w:pPr>
              <w:pStyle w:val="TableText"/>
              <w:spacing w:before="30" w:after="30"/>
              <w:jc w:val="center"/>
            </w:pPr>
            <w:r w:rsidRPr="00430317">
              <w:rPr>
                <w:w w:val="101"/>
              </w:rPr>
              <w:t>3222–3243</w:t>
            </w:r>
          </w:p>
        </w:tc>
      </w:tr>
      <w:tr w:rsidR="003741ED" w:rsidRPr="00430317" w14:paraId="041E34A1" w14:textId="77777777" w:rsidTr="002B1E0A">
        <w:trPr>
          <w:cantSplit/>
        </w:trPr>
        <w:tc>
          <w:tcPr>
            <w:tcW w:w="567" w:type="dxa"/>
            <w:shd w:val="clear" w:color="auto" w:fill="auto"/>
          </w:tcPr>
          <w:p w14:paraId="041E3499" w14:textId="77777777" w:rsidR="003741ED" w:rsidRPr="00430317" w:rsidRDefault="003741ED" w:rsidP="00F727E9">
            <w:pPr>
              <w:pStyle w:val="TableText"/>
              <w:spacing w:before="30" w:after="30"/>
              <w:jc w:val="center"/>
            </w:pPr>
            <w:r w:rsidRPr="00430317">
              <w:t>22</w:t>
            </w:r>
          </w:p>
        </w:tc>
        <w:tc>
          <w:tcPr>
            <w:tcW w:w="1488" w:type="dxa"/>
            <w:tcBorders>
              <w:right w:val="single" w:sz="4" w:space="0" w:color="A6A6A6" w:themeColor="background1" w:themeShade="A6"/>
            </w:tcBorders>
            <w:shd w:val="clear" w:color="auto" w:fill="auto"/>
          </w:tcPr>
          <w:p w14:paraId="041E349A" w14:textId="77777777" w:rsidR="003741ED" w:rsidRPr="00430317" w:rsidRDefault="003741ED" w:rsidP="00F727E9">
            <w:pPr>
              <w:pStyle w:val="TableText"/>
              <w:spacing w:before="30" w:after="30"/>
              <w:jc w:val="center"/>
            </w:pPr>
            <w:r w:rsidRPr="00430317">
              <w:rPr>
                <w:w w:val="101"/>
              </w:rPr>
              <w:t>612–635</w:t>
            </w:r>
          </w:p>
        </w:tc>
        <w:tc>
          <w:tcPr>
            <w:tcW w:w="497" w:type="dxa"/>
            <w:tcBorders>
              <w:left w:val="single" w:sz="4" w:space="0" w:color="A6A6A6" w:themeColor="background1" w:themeShade="A6"/>
            </w:tcBorders>
            <w:shd w:val="clear" w:color="auto" w:fill="auto"/>
          </w:tcPr>
          <w:p w14:paraId="041E349B" w14:textId="77777777" w:rsidR="003741ED" w:rsidRPr="00430317" w:rsidRDefault="003741ED" w:rsidP="00F727E9">
            <w:pPr>
              <w:pStyle w:val="TableText"/>
              <w:spacing w:before="30" w:after="30"/>
              <w:jc w:val="center"/>
            </w:pPr>
            <w:r w:rsidRPr="00430317">
              <w:t>62</w:t>
            </w:r>
          </w:p>
        </w:tc>
        <w:tc>
          <w:tcPr>
            <w:tcW w:w="1559" w:type="dxa"/>
            <w:tcBorders>
              <w:right w:val="single" w:sz="4" w:space="0" w:color="A6A6A6" w:themeColor="background1" w:themeShade="A6"/>
            </w:tcBorders>
            <w:shd w:val="clear" w:color="auto" w:fill="auto"/>
          </w:tcPr>
          <w:p w14:paraId="041E349C" w14:textId="77777777" w:rsidR="003741ED" w:rsidRPr="00430317" w:rsidRDefault="003741ED" w:rsidP="00F727E9">
            <w:pPr>
              <w:pStyle w:val="TableText"/>
              <w:spacing w:before="30" w:after="30"/>
              <w:jc w:val="center"/>
            </w:pPr>
            <w:r w:rsidRPr="00430317">
              <w:rPr>
                <w:w w:val="101"/>
              </w:rPr>
              <w:t>1514–1535</w:t>
            </w:r>
          </w:p>
        </w:tc>
        <w:tc>
          <w:tcPr>
            <w:tcW w:w="425" w:type="dxa"/>
            <w:tcBorders>
              <w:left w:val="single" w:sz="4" w:space="0" w:color="A6A6A6" w:themeColor="background1" w:themeShade="A6"/>
            </w:tcBorders>
            <w:shd w:val="clear" w:color="auto" w:fill="auto"/>
          </w:tcPr>
          <w:p w14:paraId="041E349D" w14:textId="77777777" w:rsidR="003741ED" w:rsidRPr="00430317" w:rsidRDefault="003741ED" w:rsidP="00F727E9">
            <w:pPr>
              <w:pStyle w:val="TableText"/>
              <w:spacing w:before="30" w:after="30"/>
              <w:jc w:val="center"/>
            </w:pPr>
            <w:r w:rsidRPr="00430317">
              <w:t>102</w:t>
            </w:r>
          </w:p>
        </w:tc>
        <w:tc>
          <w:tcPr>
            <w:tcW w:w="1488" w:type="dxa"/>
            <w:tcBorders>
              <w:right w:val="single" w:sz="4" w:space="0" w:color="A6A6A6" w:themeColor="background1" w:themeShade="A6"/>
            </w:tcBorders>
            <w:shd w:val="clear" w:color="auto" w:fill="auto"/>
          </w:tcPr>
          <w:p w14:paraId="041E349E" w14:textId="77777777" w:rsidR="003741ED" w:rsidRPr="00430317" w:rsidRDefault="003741ED" w:rsidP="00F727E9">
            <w:pPr>
              <w:pStyle w:val="TableText"/>
              <w:spacing w:before="30" w:after="30"/>
              <w:jc w:val="center"/>
            </w:pPr>
            <w:r w:rsidRPr="00430317">
              <w:rPr>
                <w:w w:val="101"/>
              </w:rPr>
              <w:t>2385–2406</w:t>
            </w:r>
          </w:p>
        </w:tc>
        <w:tc>
          <w:tcPr>
            <w:tcW w:w="639" w:type="dxa"/>
            <w:tcBorders>
              <w:left w:val="single" w:sz="4" w:space="0" w:color="A6A6A6" w:themeColor="background1" w:themeShade="A6"/>
            </w:tcBorders>
            <w:shd w:val="clear" w:color="auto" w:fill="auto"/>
          </w:tcPr>
          <w:p w14:paraId="041E349F" w14:textId="77777777" w:rsidR="003741ED" w:rsidRPr="00430317" w:rsidRDefault="003741ED" w:rsidP="00F727E9">
            <w:pPr>
              <w:pStyle w:val="TableText"/>
              <w:spacing w:before="30" w:after="30"/>
              <w:jc w:val="center"/>
            </w:pPr>
            <w:r w:rsidRPr="00430317">
              <w:t>142</w:t>
            </w:r>
          </w:p>
        </w:tc>
        <w:tc>
          <w:tcPr>
            <w:tcW w:w="1418" w:type="dxa"/>
            <w:shd w:val="clear" w:color="auto" w:fill="auto"/>
          </w:tcPr>
          <w:p w14:paraId="041E34A0" w14:textId="77777777" w:rsidR="003741ED" w:rsidRPr="00430317" w:rsidRDefault="003741ED" w:rsidP="00F727E9">
            <w:pPr>
              <w:pStyle w:val="TableText"/>
              <w:spacing w:before="30" w:after="30"/>
              <w:jc w:val="center"/>
            </w:pPr>
            <w:r w:rsidRPr="00430317">
              <w:rPr>
                <w:w w:val="101"/>
              </w:rPr>
              <w:t>3244–3264</w:t>
            </w:r>
          </w:p>
        </w:tc>
      </w:tr>
      <w:tr w:rsidR="003741ED" w:rsidRPr="00430317" w14:paraId="041E34AA" w14:textId="77777777" w:rsidTr="002B1E0A">
        <w:trPr>
          <w:cantSplit/>
        </w:trPr>
        <w:tc>
          <w:tcPr>
            <w:tcW w:w="567" w:type="dxa"/>
            <w:shd w:val="clear" w:color="auto" w:fill="auto"/>
          </w:tcPr>
          <w:p w14:paraId="041E34A2" w14:textId="77777777" w:rsidR="003741ED" w:rsidRPr="00430317" w:rsidRDefault="003741ED" w:rsidP="00F727E9">
            <w:pPr>
              <w:pStyle w:val="TableText"/>
              <w:spacing w:before="30" w:after="30"/>
              <w:jc w:val="center"/>
            </w:pPr>
            <w:r w:rsidRPr="00430317">
              <w:t>23</w:t>
            </w:r>
          </w:p>
        </w:tc>
        <w:tc>
          <w:tcPr>
            <w:tcW w:w="1488" w:type="dxa"/>
            <w:tcBorders>
              <w:right w:val="single" w:sz="4" w:space="0" w:color="A6A6A6" w:themeColor="background1" w:themeShade="A6"/>
            </w:tcBorders>
            <w:shd w:val="clear" w:color="auto" w:fill="auto"/>
          </w:tcPr>
          <w:p w14:paraId="041E34A3" w14:textId="77777777" w:rsidR="003741ED" w:rsidRPr="00430317" w:rsidRDefault="003741ED" w:rsidP="00F727E9">
            <w:pPr>
              <w:pStyle w:val="TableText"/>
              <w:spacing w:before="30" w:after="30"/>
              <w:jc w:val="center"/>
            </w:pPr>
            <w:r w:rsidRPr="00430317">
              <w:rPr>
                <w:w w:val="101"/>
              </w:rPr>
              <w:t>636–658</w:t>
            </w:r>
          </w:p>
        </w:tc>
        <w:tc>
          <w:tcPr>
            <w:tcW w:w="497" w:type="dxa"/>
            <w:tcBorders>
              <w:left w:val="single" w:sz="4" w:space="0" w:color="A6A6A6" w:themeColor="background1" w:themeShade="A6"/>
            </w:tcBorders>
            <w:shd w:val="clear" w:color="auto" w:fill="auto"/>
          </w:tcPr>
          <w:p w14:paraId="041E34A4" w14:textId="77777777" w:rsidR="003741ED" w:rsidRPr="00430317" w:rsidRDefault="003741ED" w:rsidP="00F727E9">
            <w:pPr>
              <w:pStyle w:val="TableText"/>
              <w:spacing w:before="30" w:after="30"/>
              <w:jc w:val="center"/>
            </w:pPr>
            <w:r w:rsidRPr="00430317">
              <w:t>63</w:t>
            </w:r>
          </w:p>
        </w:tc>
        <w:tc>
          <w:tcPr>
            <w:tcW w:w="1559" w:type="dxa"/>
            <w:tcBorders>
              <w:right w:val="single" w:sz="4" w:space="0" w:color="A6A6A6" w:themeColor="background1" w:themeShade="A6"/>
            </w:tcBorders>
            <w:shd w:val="clear" w:color="auto" w:fill="auto"/>
          </w:tcPr>
          <w:p w14:paraId="041E34A5" w14:textId="77777777" w:rsidR="003741ED" w:rsidRPr="00430317" w:rsidRDefault="003741ED" w:rsidP="00F727E9">
            <w:pPr>
              <w:pStyle w:val="TableText"/>
              <w:spacing w:before="30" w:after="30"/>
              <w:jc w:val="center"/>
            </w:pPr>
            <w:r w:rsidRPr="00430317">
              <w:rPr>
                <w:w w:val="101"/>
              </w:rPr>
              <w:t>1536–1557</w:t>
            </w:r>
          </w:p>
        </w:tc>
        <w:tc>
          <w:tcPr>
            <w:tcW w:w="425" w:type="dxa"/>
            <w:tcBorders>
              <w:left w:val="single" w:sz="4" w:space="0" w:color="A6A6A6" w:themeColor="background1" w:themeShade="A6"/>
            </w:tcBorders>
            <w:shd w:val="clear" w:color="auto" w:fill="auto"/>
          </w:tcPr>
          <w:p w14:paraId="041E34A6" w14:textId="77777777" w:rsidR="003741ED" w:rsidRPr="00430317" w:rsidRDefault="003741ED" w:rsidP="00F727E9">
            <w:pPr>
              <w:pStyle w:val="TableText"/>
              <w:spacing w:before="30" w:after="30"/>
              <w:jc w:val="center"/>
            </w:pPr>
            <w:r w:rsidRPr="00430317">
              <w:t>103</w:t>
            </w:r>
          </w:p>
        </w:tc>
        <w:tc>
          <w:tcPr>
            <w:tcW w:w="1488" w:type="dxa"/>
            <w:tcBorders>
              <w:right w:val="single" w:sz="4" w:space="0" w:color="A6A6A6" w:themeColor="background1" w:themeShade="A6"/>
            </w:tcBorders>
            <w:shd w:val="clear" w:color="auto" w:fill="auto"/>
          </w:tcPr>
          <w:p w14:paraId="041E34A7" w14:textId="77777777" w:rsidR="003741ED" w:rsidRPr="00430317" w:rsidRDefault="003741ED" w:rsidP="00F727E9">
            <w:pPr>
              <w:pStyle w:val="TableText"/>
              <w:spacing w:before="30" w:after="30"/>
              <w:jc w:val="center"/>
            </w:pPr>
            <w:r w:rsidRPr="00430317">
              <w:rPr>
                <w:w w:val="101"/>
              </w:rPr>
              <w:t>2407–2427</w:t>
            </w:r>
          </w:p>
        </w:tc>
        <w:tc>
          <w:tcPr>
            <w:tcW w:w="639" w:type="dxa"/>
            <w:tcBorders>
              <w:left w:val="single" w:sz="4" w:space="0" w:color="A6A6A6" w:themeColor="background1" w:themeShade="A6"/>
            </w:tcBorders>
            <w:shd w:val="clear" w:color="auto" w:fill="auto"/>
          </w:tcPr>
          <w:p w14:paraId="041E34A8" w14:textId="77777777" w:rsidR="003741ED" w:rsidRPr="00430317" w:rsidRDefault="003741ED" w:rsidP="00F727E9">
            <w:pPr>
              <w:pStyle w:val="TableText"/>
              <w:spacing w:before="30" w:after="30"/>
              <w:jc w:val="center"/>
            </w:pPr>
            <w:r w:rsidRPr="00430317">
              <w:t>143</w:t>
            </w:r>
          </w:p>
        </w:tc>
        <w:tc>
          <w:tcPr>
            <w:tcW w:w="1418" w:type="dxa"/>
            <w:shd w:val="clear" w:color="auto" w:fill="auto"/>
          </w:tcPr>
          <w:p w14:paraId="041E34A9" w14:textId="77777777" w:rsidR="003741ED" w:rsidRPr="00430317" w:rsidRDefault="003741ED" w:rsidP="00F727E9">
            <w:pPr>
              <w:pStyle w:val="TableText"/>
              <w:spacing w:before="30" w:after="30"/>
              <w:jc w:val="center"/>
            </w:pPr>
            <w:r w:rsidRPr="00430317">
              <w:rPr>
                <w:w w:val="101"/>
              </w:rPr>
              <w:t>3265–3285</w:t>
            </w:r>
          </w:p>
        </w:tc>
      </w:tr>
      <w:tr w:rsidR="003741ED" w:rsidRPr="00430317" w14:paraId="041E34B3" w14:textId="77777777" w:rsidTr="002B1E0A">
        <w:trPr>
          <w:cantSplit/>
        </w:trPr>
        <w:tc>
          <w:tcPr>
            <w:tcW w:w="567" w:type="dxa"/>
            <w:shd w:val="clear" w:color="auto" w:fill="auto"/>
          </w:tcPr>
          <w:p w14:paraId="041E34AB" w14:textId="77777777" w:rsidR="003741ED" w:rsidRPr="00430317" w:rsidRDefault="003741ED" w:rsidP="00F727E9">
            <w:pPr>
              <w:pStyle w:val="TableText"/>
              <w:spacing w:before="30" w:after="30"/>
              <w:jc w:val="center"/>
            </w:pPr>
            <w:r w:rsidRPr="00430317">
              <w:t>24</w:t>
            </w:r>
          </w:p>
        </w:tc>
        <w:tc>
          <w:tcPr>
            <w:tcW w:w="1488" w:type="dxa"/>
            <w:tcBorders>
              <w:right w:val="single" w:sz="4" w:space="0" w:color="A6A6A6" w:themeColor="background1" w:themeShade="A6"/>
            </w:tcBorders>
            <w:shd w:val="clear" w:color="auto" w:fill="auto"/>
          </w:tcPr>
          <w:p w14:paraId="041E34AC" w14:textId="77777777" w:rsidR="003741ED" w:rsidRPr="00430317" w:rsidRDefault="003741ED" w:rsidP="00F727E9">
            <w:pPr>
              <w:pStyle w:val="TableText"/>
              <w:spacing w:before="30" w:after="30"/>
              <w:jc w:val="center"/>
            </w:pPr>
            <w:r w:rsidRPr="00430317">
              <w:rPr>
                <w:w w:val="101"/>
              </w:rPr>
              <w:t>659–681</w:t>
            </w:r>
          </w:p>
        </w:tc>
        <w:tc>
          <w:tcPr>
            <w:tcW w:w="497" w:type="dxa"/>
            <w:tcBorders>
              <w:left w:val="single" w:sz="4" w:space="0" w:color="A6A6A6" w:themeColor="background1" w:themeShade="A6"/>
            </w:tcBorders>
            <w:shd w:val="clear" w:color="auto" w:fill="auto"/>
          </w:tcPr>
          <w:p w14:paraId="041E34AD" w14:textId="77777777" w:rsidR="003741ED" w:rsidRPr="00430317" w:rsidRDefault="003741ED" w:rsidP="00F727E9">
            <w:pPr>
              <w:pStyle w:val="TableText"/>
              <w:spacing w:before="30" w:after="30"/>
              <w:jc w:val="center"/>
            </w:pPr>
            <w:r w:rsidRPr="00430317">
              <w:t>64</w:t>
            </w:r>
          </w:p>
        </w:tc>
        <w:tc>
          <w:tcPr>
            <w:tcW w:w="1559" w:type="dxa"/>
            <w:tcBorders>
              <w:right w:val="single" w:sz="4" w:space="0" w:color="A6A6A6" w:themeColor="background1" w:themeShade="A6"/>
            </w:tcBorders>
            <w:shd w:val="clear" w:color="auto" w:fill="auto"/>
          </w:tcPr>
          <w:p w14:paraId="041E34AE" w14:textId="77777777" w:rsidR="003741ED" w:rsidRPr="00430317" w:rsidRDefault="003741ED" w:rsidP="00F727E9">
            <w:pPr>
              <w:pStyle w:val="TableText"/>
              <w:spacing w:before="30" w:after="30"/>
              <w:jc w:val="center"/>
            </w:pPr>
            <w:r w:rsidRPr="00430317">
              <w:rPr>
                <w:w w:val="101"/>
              </w:rPr>
              <w:t>1558–1579</w:t>
            </w:r>
          </w:p>
        </w:tc>
        <w:tc>
          <w:tcPr>
            <w:tcW w:w="425" w:type="dxa"/>
            <w:tcBorders>
              <w:left w:val="single" w:sz="4" w:space="0" w:color="A6A6A6" w:themeColor="background1" w:themeShade="A6"/>
            </w:tcBorders>
            <w:shd w:val="clear" w:color="auto" w:fill="auto"/>
          </w:tcPr>
          <w:p w14:paraId="041E34AF" w14:textId="77777777" w:rsidR="003741ED" w:rsidRPr="00430317" w:rsidRDefault="003741ED" w:rsidP="00F727E9">
            <w:pPr>
              <w:pStyle w:val="TableText"/>
              <w:spacing w:before="30" w:after="30"/>
              <w:jc w:val="center"/>
            </w:pPr>
            <w:r w:rsidRPr="00430317">
              <w:t>104</w:t>
            </w:r>
          </w:p>
        </w:tc>
        <w:tc>
          <w:tcPr>
            <w:tcW w:w="1488" w:type="dxa"/>
            <w:tcBorders>
              <w:right w:val="single" w:sz="4" w:space="0" w:color="A6A6A6" w:themeColor="background1" w:themeShade="A6"/>
            </w:tcBorders>
            <w:shd w:val="clear" w:color="auto" w:fill="auto"/>
          </w:tcPr>
          <w:p w14:paraId="041E34B0" w14:textId="77777777" w:rsidR="003741ED" w:rsidRPr="00430317" w:rsidRDefault="003741ED" w:rsidP="00F727E9">
            <w:pPr>
              <w:pStyle w:val="TableText"/>
              <w:spacing w:before="30" w:after="30"/>
              <w:jc w:val="center"/>
            </w:pPr>
            <w:r w:rsidRPr="00430317">
              <w:rPr>
                <w:w w:val="101"/>
              </w:rPr>
              <w:t>2428–2449</w:t>
            </w:r>
          </w:p>
        </w:tc>
        <w:tc>
          <w:tcPr>
            <w:tcW w:w="639" w:type="dxa"/>
            <w:tcBorders>
              <w:left w:val="single" w:sz="4" w:space="0" w:color="A6A6A6" w:themeColor="background1" w:themeShade="A6"/>
            </w:tcBorders>
            <w:shd w:val="clear" w:color="auto" w:fill="auto"/>
          </w:tcPr>
          <w:p w14:paraId="041E34B1" w14:textId="77777777" w:rsidR="003741ED" w:rsidRPr="00430317" w:rsidRDefault="003741ED" w:rsidP="00F727E9">
            <w:pPr>
              <w:pStyle w:val="TableText"/>
              <w:spacing w:before="30" w:after="30"/>
              <w:jc w:val="center"/>
            </w:pPr>
            <w:r w:rsidRPr="00430317">
              <w:t>144</w:t>
            </w:r>
          </w:p>
        </w:tc>
        <w:tc>
          <w:tcPr>
            <w:tcW w:w="1418" w:type="dxa"/>
            <w:shd w:val="clear" w:color="auto" w:fill="auto"/>
          </w:tcPr>
          <w:p w14:paraId="041E34B2" w14:textId="77777777" w:rsidR="003741ED" w:rsidRPr="00430317" w:rsidRDefault="003741ED" w:rsidP="00F727E9">
            <w:pPr>
              <w:pStyle w:val="TableText"/>
              <w:spacing w:before="30" w:after="30"/>
              <w:jc w:val="center"/>
            </w:pPr>
            <w:r w:rsidRPr="00430317">
              <w:rPr>
                <w:w w:val="101"/>
              </w:rPr>
              <w:t>3286–3307</w:t>
            </w:r>
          </w:p>
        </w:tc>
      </w:tr>
      <w:tr w:rsidR="003741ED" w:rsidRPr="00430317" w14:paraId="041E34BC" w14:textId="77777777" w:rsidTr="002B1E0A">
        <w:trPr>
          <w:cantSplit/>
        </w:trPr>
        <w:tc>
          <w:tcPr>
            <w:tcW w:w="567" w:type="dxa"/>
            <w:shd w:val="clear" w:color="auto" w:fill="auto"/>
          </w:tcPr>
          <w:p w14:paraId="041E34B4" w14:textId="77777777" w:rsidR="003741ED" w:rsidRPr="00430317" w:rsidRDefault="003741ED" w:rsidP="00F727E9">
            <w:pPr>
              <w:pStyle w:val="TableText"/>
              <w:spacing w:before="30" w:after="30"/>
              <w:jc w:val="center"/>
            </w:pPr>
            <w:r w:rsidRPr="00430317">
              <w:t>25</w:t>
            </w:r>
          </w:p>
        </w:tc>
        <w:tc>
          <w:tcPr>
            <w:tcW w:w="1488" w:type="dxa"/>
            <w:tcBorders>
              <w:right w:val="single" w:sz="4" w:space="0" w:color="A6A6A6" w:themeColor="background1" w:themeShade="A6"/>
            </w:tcBorders>
            <w:shd w:val="clear" w:color="auto" w:fill="auto"/>
          </w:tcPr>
          <w:p w14:paraId="041E34B5" w14:textId="77777777" w:rsidR="003741ED" w:rsidRPr="00430317" w:rsidRDefault="003741ED" w:rsidP="00F727E9">
            <w:pPr>
              <w:pStyle w:val="TableText"/>
              <w:spacing w:before="30" w:after="30"/>
              <w:jc w:val="center"/>
            </w:pPr>
            <w:r w:rsidRPr="00430317">
              <w:rPr>
                <w:w w:val="101"/>
              </w:rPr>
              <w:t>682–704</w:t>
            </w:r>
          </w:p>
        </w:tc>
        <w:tc>
          <w:tcPr>
            <w:tcW w:w="497" w:type="dxa"/>
            <w:tcBorders>
              <w:left w:val="single" w:sz="4" w:space="0" w:color="A6A6A6" w:themeColor="background1" w:themeShade="A6"/>
            </w:tcBorders>
            <w:shd w:val="clear" w:color="auto" w:fill="auto"/>
          </w:tcPr>
          <w:p w14:paraId="041E34B6" w14:textId="77777777" w:rsidR="003741ED" w:rsidRPr="00430317" w:rsidRDefault="003741ED" w:rsidP="00F727E9">
            <w:pPr>
              <w:pStyle w:val="TableText"/>
              <w:spacing w:before="30" w:after="30"/>
              <w:jc w:val="center"/>
            </w:pPr>
            <w:r w:rsidRPr="00430317">
              <w:t>65</w:t>
            </w:r>
          </w:p>
        </w:tc>
        <w:tc>
          <w:tcPr>
            <w:tcW w:w="1559" w:type="dxa"/>
            <w:tcBorders>
              <w:right w:val="single" w:sz="4" w:space="0" w:color="A6A6A6" w:themeColor="background1" w:themeShade="A6"/>
            </w:tcBorders>
            <w:shd w:val="clear" w:color="auto" w:fill="auto"/>
          </w:tcPr>
          <w:p w14:paraId="041E34B7" w14:textId="77777777" w:rsidR="003741ED" w:rsidRPr="00430317" w:rsidRDefault="003741ED" w:rsidP="00F727E9">
            <w:pPr>
              <w:pStyle w:val="TableText"/>
              <w:spacing w:before="30" w:after="30"/>
              <w:jc w:val="center"/>
            </w:pPr>
            <w:r w:rsidRPr="00430317">
              <w:rPr>
                <w:w w:val="101"/>
              </w:rPr>
              <w:t>1580–1601</w:t>
            </w:r>
          </w:p>
        </w:tc>
        <w:tc>
          <w:tcPr>
            <w:tcW w:w="425" w:type="dxa"/>
            <w:tcBorders>
              <w:left w:val="single" w:sz="4" w:space="0" w:color="A6A6A6" w:themeColor="background1" w:themeShade="A6"/>
            </w:tcBorders>
            <w:shd w:val="clear" w:color="auto" w:fill="auto"/>
          </w:tcPr>
          <w:p w14:paraId="041E34B8" w14:textId="77777777" w:rsidR="003741ED" w:rsidRPr="00430317" w:rsidRDefault="003741ED" w:rsidP="00F727E9">
            <w:pPr>
              <w:pStyle w:val="TableText"/>
              <w:spacing w:before="30" w:after="30"/>
              <w:jc w:val="center"/>
            </w:pPr>
            <w:r w:rsidRPr="00430317">
              <w:t>105</w:t>
            </w:r>
          </w:p>
        </w:tc>
        <w:tc>
          <w:tcPr>
            <w:tcW w:w="1488" w:type="dxa"/>
            <w:tcBorders>
              <w:right w:val="single" w:sz="4" w:space="0" w:color="A6A6A6" w:themeColor="background1" w:themeShade="A6"/>
            </w:tcBorders>
            <w:shd w:val="clear" w:color="auto" w:fill="auto"/>
          </w:tcPr>
          <w:p w14:paraId="041E34B9" w14:textId="77777777" w:rsidR="003741ED" w:rsidRPr="00430317" w:rsidRDefault="003741ED" w:rsidP="00F727E9">
            <w:pPr>
              <w:pStyle w:val="TableText"/>
              <w:spacing w:before="30" w:after="30"/>
              <w:jc w:val="center"/>
            </w:pPr>
            <w:r w:rsidRPr="00430317">
              <w:rPr>
                <w:w w:val="101"/>
              </w:rPr>
              <w:t>2450–2471</w:t>
            </w:r>
          </w:p>
        </w:tc>
        <w:tc>
          <w:tcPr>
            <w:tcW w:w="639" w:type="dxa"/>
            <w:tcBorders>
              <w:left w:val="single" w:sz="4" w:space="0" w:color="A6A6A6" w:themeColor="background1" w:themeShade="A6"/>
            </w:tcBorders>
            <w:shd w:val="clear" w:color="auto" w:fill="auto"/>
          </w:tcPr>
          <w:p w14:paraId="041E34BA" w14:textId="77777777" w:rsidR="003741ED" w:rsidRPr="00430317" w:rsidRDefault="003741ED" w:rsidP="00F727E9">
            <w:pPr>
              <w:pStyle w:val="TableText"/>
              <w:spacing w:before="30" w:after="30"/>
              <w:jc w:val="center"/>
            </w:pPr>
            <w:r w:rsidRPr="00430317">
              <w:t>145</w:t>
            </w:r>
          </w:p>
        </w:tc>
        <w:tc>
          <w:tcPr>
            <w:tcW w:w="1418" w:type="dxa"/>
            <w:shd w:val="clear" w:color="auto" w:fill="auto"/>
          </w:tcPr>
          <w:p w14:paraId="041E34BB" w14:textId="77777777" w:rsidR="003741ED" w:rsidRPr="00430317" w:rsidRDefault="003741ED" w:rsidP="00F727E9">
            <w:pPr>
              <w:pStyle w:val="TableText"/>
              <w:spacing w:before="30" w:after="30"/>
              <w:jc w:val="center"/>
            </w:pPr>
            <w:r w:rsidRPr="00430317">
              <w:rPr>
                <w:w w:val="101"/>
              </w:rPr>
              <w:t>3308–3328</w:t>
            </w:r>
          </w:p>
        </w:tc>
      </w:tr>
      <w:tr w:rsidR="003741ED" w:rsidRPr="00430317" w14:paraId="041E34C5" w14:textId="77777777" w:rsidTr="002B1E0A">
        <w:trPr>
          <w:cantSplit/>
        </w:trPr>
        <w:tc>
          <w:tcPr>
            <w:tcW w:w="567" w:type="dxa"/>
            <w:shd w:val="clear" w:color="auto" w:fill="auto"/>
          </w:tcPr>
          <w:p w14:paraId="041E34BD" w14:textId="77777777" w:rsidR="003741ED" w:rsidRPr="00430317" w:rsidRDefault="003741ED" w:rsidP="00F727E9">
            <w:pPr>
              <w:pStyle w:val="TableText"/>
              <w:spacing w:before="30" w:after="30"/>
              <w:jc w:val="center"/>
            </w:pPr>
            <w:r w:rsidRPr="00430317">
              <w:t>26</w:t>
            </w:r>
          </w:p>
        </w:tc>
        <w:tc>
          <w:tcPr>
            <w:tcW w:w="1488" w:type="dxa"/>
            <w:tcBorders>
              <w:right w:val="single" w:sz="4" w:space="0" w:color="A6A6A6" w:themeColor="background1" w:themeShade="A6"/>
            </w:tcBorders>
            <w:shd w:val="clear" w:color="auto" w:fill="auto"/>
          </w:tcPr>
          <w:p w14:paraId="041E34BE" w14:textId="77777777" w:rsidR="003741ED" w:rsidRPr="00430317" w:rsidRDefault="003741ED" w:rsidP="00F727E9">
            <w:pPr>
              <w:pStyle w:val="TableText"/>
              <w:spacing w:before="30" w:after="30"/>
              <w:jc w:val="center"/>
            </w:pPr>
            <w:r w:rsidRPr="00430317">
              <w:rPr>
                <w:w w:val="101"/>
              </w:rPr>
              <w:t>705–727</w:t>
            </w:r>
          </w:p>
        </w:tc>
        <w:tc>
          <w:tcPr>
            <w:tcW w:w="497" w:type="dxa"/>
            <w:tcBorders>
              <w:left w:val="single" w:sz="4" w:space="0" w:color="A6A6A6" w:themeColor="background1" w:themeShade="A6"/>
            </w:tcBorders>
            <w:shd w:val="clear" w:color="auto" w:fill="auto"/>
          </w:tcPr>
          <w:p w14:paraId="041E34BF" w14:textId="77777777" w:rsidR="003741ED" w:rsidRPr="00430317" w:rsidRDefault="003741ED" w:rsidP="00F727E9">
            <w:pPr>
              <w:pStyle w:val="TableText"/>
              <w:spacing w:before="30" w:after="30"/>
              <w:jc w:val="center"/>
            </w:pPr>
            <w:r w:rsidRPr="00430317">
              <w:t>66</w:t>
            </w:r>
          </w:p>
        </w:tc>
        <w:tc>
          <w:tcPr>
            <w:tcW w:w="1559" w:type="dxa"/>
            <w:tcBorders>
              <w:right w:val="single" w:sz="4" w:space="0" w:color="A6A6A6" w:themeColor="background1" w:themeShade="A6"/>
            </w:tcBorders>
            <w:shd w:val="clear" w:color="auto" w:fill="auto"/>
          </w:tcPr>
          <w:p w14:paraId="041E34C0" w14:textId="77777777" w:rsidR="003741ED" w:rsidRPr="00430317" w:rsidRDefault="003741ED" w:rsidP="00F727E9">
            <w:pPr>
              <w:pStyle w:val="TableText"/>
              <w:spacing w:before="30" w:after="30"/>
              <w:jc w:val="center"/>
            </w:pPr>
            <w:r w:rsidRPr="00430317">
              <w:rPr>
                <w:w w:val="101"/>
              </w:rPr>
              <w:t>1602–1623</w:t>
            </w:r>
          </w:p>
        </w:tc>
        <w:tc>
          <w:tcPr>
            <w:tcW w:w="425" w:type="dxa"/>
            <w:tcBorders>
              <w:left w:val="single" w:sz="4" w:space="0" w:color="A6A6A6" w:themeColor="background1" w:themeShade="A6"/>
            </w:tcBorders>
            <w:shd w:val="clear" w:color="auto" w:fill="auto"/>
          </w:tcPr>
          <w:p w14:paraId="041E34C1" w14:textId="77777777" w:rsidR="003741ED" w:rsidRPr="00430317" w:rsidRDefault="003741ED" w:rsidP="00F727E9">
            <w:pPr>
              <w:pStyle w:val="TableText"/>
              <w:spacing w:before="30" w:after="30"/>
              <w:jc w:val="center"/>
            </w:pPr>
            <w:r w:rsidRPr="00430317">
              <w:t>106</w:t>
            </w:r>
          </w:p>
        </w:tc>
        <w:tc>
          <w:tcPr>
            <w:tcW w:w="1488" w:type="dxa"/>
            <w:tcBorders>
              <w:right w:val="single" w:sz="4" w:space="0" w:color="A6A6A6" w:themeColor="background1" w:themeShade="A6"/>
            </w:tcBorders>
            <w:shd w:val="clear" w:color="auto" w:fill="auto"/>
          </w:tcPr>
          <w:p w14:paraId="041E34C2" w14:textId="77777777" w:rsidR="003741ED" w:rsidRPr="00430317" w:rsidRDefault="003741ED" w:rsidP="00F727E9">
            <w:pPr>
              <w:pStyle w:val="TableText"/>
              <w:spacing w:before="30" w:after="30"/>
              <w:jc w:val="center"/>
            </w:pPr>
            <w:r w:rsidRPr="00430317">
              <w:rPr>
                <w:w w:val="101"/>
              </w:rPr>
              <w:t>2472–2492</w:t>
            </w:r>
          </w:p>
        </w:tc>
        <w:tc>
          <w:tcPr>
            <w:tcW w:w="639" w:type="dxa"/>
            <w:tcBorders>
              <w:left w:val="single" w:sz="4" w:space="0" w:color="A6A6A6" w:themeColor="background1" w:themeShade="A6"/>
            </w:tcBorders>
            <w:shd w:val="clear" w:color="auto" w:fill="auto"/>
          </w:tcPr>
          <w:p w14:paraId="041E34C3" w14:textId="77777777" w:rsidR="003741ED" w:rsidRPr="00430317" w:rsidRDefault="003741ED" w:rsidP="00F727E9">
            <w:pPr>
              <w:pStyle w:val="TableText"/>
              <w:spacing w:before="30" w:after="30"/>
              <w:jc w:val="center"/>
            </w:pPr>
            <w:r w:rsidRPr="00430317">
              <w:t>146</w:t>
            </w:r>
          </w:p>
        </w:tc>
        <w:tc>
          <w:tcPr>
            <w:tcW w:w="1418" w:type="dxa"/>
            <w:shd w:val="clear" w:color="auto" w:fill="auto"/>
          </w:tcPr>
          <w:p w14:paraId="041E34C4" w14:textId="77777777" w:rsidR="003741ED" w:rsidRPr="00430317" w:rsidRDefault="003741ED" w:rsidP="00F727E9">
            <w:pPr>
              <w:pStyle w:val="TableText"/>
              <w:spacing w:before="30" w:after="30"/>
              <w:jc w:val="center"/>
            </w:pPr>
            <w:r w:rsidRPr="00430317">
              <w:rPr>
                <w:w w:val="101"/>
              </w:rPr>
              <w:t>3329–3349</w:t>
            </w:r>
          </w:p>
        </w:tc>
      </w:tr>
      <w:tr w:rsidR="003741ED" w:rsidRPr="00430317" w14:paraId="041E34CE" w14:textId="77777777" w:rsidTr="002B1E0A">
        <w:trPr>
          <w:cantSplit/>
        </w:trPr>
        <w:tc>
          <w:tcPr>
            <w:tcW w:w="567" w:type="dxa"/>
            <w:shd w:val="clear" w:color="auto" w:fill="auto"/>
          </w:tcPr>
          <w:p w14:paraId="041E34C6" w14:textId="77777777" w:rsidR="003741ED" w:rsidRPr="00430317" w:rsidRDefault="003741ED" w:rsidP="00F727E9">
            <w:pPr>
              <w:pStyle w:val="TableText"/>
              <w:spacing w:before="30" w:after="30"/>
              <w:jc w:val="center"/>
            </w:pPr>
            <w:r w:rsidRPr="00430317">
              <w:t>27</w:t>
            </w:r>
          </w:p>
        </w:tc>
        <w:tc>
          <w:tcPr>
            <w:tcW w:w="1488" w:type="dxa"/>
            <w:tcBorders>
              <w:right w:val="single" w:sz="4" w:space="0" w:color="A6A6A6" w:themeColor="background1" w:themeShade="A6"/>
            </w:tcBorders>
            <w:shd w:val="clear" w:color="auto" w:fill="auto"/>
          </w:tcPr>
          <w:p w14:paraId="041E34C7" w14:textId="77777777" w:rsidR="003741ED" w:rsidRPr="00430317" w:rsidRDefault="003741ED" w:rsidP="00F727E9">
            <w:pPr>
              <w:pStyle w:val="TableText"/>
              <w:spacing w:before="30" w:after="30"/>
              <w:jc w:val="center"/>
            </w:pPr>
            <w:r w:rsidRPr="00430317">
              <w:rPr>
                <w:w w:val="101"/>
              </w:rPr>
              <w:t>728–751</w:t>
            </w:r>
          </w:p>
        </w:tc>
        <w:tc>
          <w:tcPr>
            <w:tcW w:w="497" w:type="dxa"/>
            <w:tcBorders>
              <w:left w:val="single" w:sz="4" w:space="0" w:color="A6A6A6" w:themeColor="background1" w:themeShade="A6"/>
            </w:tcBorders>
            <w:shd w:val="clear" w:color="auto" w:fill="auto"/>
          </w:tcPr>
          <w:p w14:paraId="041E34C8" w14:textId="77777777" w:rsidR="003741ED" w:rsidRPr="00430317" w:rsidRDefault="003741ED" w:rsidP="00F727E9">
            <w:pPr>
              <w:pStyle w:val="TableText"/>
              <w:spacing w:before="30" w:after="30"/>
              <w:jc w:val="center"/>
            </w:pPr>
            <w:r w:rsidRPr="00430317">
              <w:t>67</w:t>
            </w:r>
          </w:p>
        </w:tc>
        <w:tc>
          <w:tcPr>
            <w:tcW w:w="1559" w:type="dxa"/>
            <w:tcBorders>
              <w:right w:val="single" w:sz="4" w:space="0" w:color="A6A6A6" w:themeColor="background1" w:themeShade="A6"/>
            </w:tcBorders>
            <w:shd w:val="clear" w:color="auto" w:fill="auto"/>
          </w:tcPr>
          <w:p w14:paraId="041E34C9" w14:textId="77777777" w:rsidR="003741ED" w:rsidRPr="00430317" w:rsidRDefault="003741ED" w:rsidP="00F727E9">
            <w:pPr>
              <w:pStyle w:val="TableText"/>
              <w:spacing w:before="30" w:after="30"/>
              <w:jc w:val="center"/>
            </w:pPr>
            <w:r w:rsidRPr="00430317">
              <w:rPr>
                <w:w w:val="101"/>
              </w:rPr>
              <w:t>1624–1645</w:t>
            </w:r>
          </w:p>
        </w:tc>
        <w:tc>
          <w:tcPr>
            <w:tcW w:w="425" w:type="dxa"/>
            <w:tcBorders>
              <w:left w:val="single" w:sz="4" w:space="0" w:color="A6A6A6" w:themeColor="background1" w:themeShade="A6"/>
            </w:tcBorders>
            <w:shd w:val="clear" w:color="auto" w:fill="auto"/>
          </w:tcPr>
          <w:p w14:paraId="041E34CA" w14:textId="77777777" w:rsidR="003741ED" w:rsidRPr="00430317" w:rsidRDefault="003741ED" w:rsidP="00F727E9">
            <w:pPr>
              <w:pStyle w:val="TableText"/>
              <w:spacing w:before="30" w:after="30"/>
              <w:jc w:val="center"/>
            </w:pPr>
            <w:r w:rsidRPr="00430317">
              <w:t>107</w:t>
            </w:r>
          </w:p>
        </w:tc>
        <w:tc>
          <w:tcPr>
            <w:tcW w:w="1488" w:type="dxa"/>
            <w:tcBorders>
              <w:right w:val="single" w:sz="4" w:space="0" w:color="A6A6A6" w:themeColor="background1" w:themeShade="A6"/>
            </w:tcBorders>
            <w:shd w:val="clear" w:color="auto" w:fill="auto"/>
          </w:tcPr>
          <w:p w14:paraId="041E34CB" w14:textId="77777777" w:rsidR="003741ED" w:rsidRPr="00430317" w:rsidRDefault="003741ED" w:rsidP="00F727E9">
            <w:pPr>
              <w:pStyle w:val="TableText"/>
              <w:spacing w:before="30" w:after="30"/>
              <w:jc w:val="center"/>
            </w:pPr>
            <w:r w:rsidRPr="00430317">
              <w:rPr>
                <w:w w:val="101"/>
              </w:rPr>
              <w:t>2493–2514</w:t>
            </w:r>
          </w:p>
        </w:tc>
        <w:tc>
          <w:tcPr>
            <w:tcW w:w="639" w:type="dxa"/>
            <w:tcBorders>
              <w:left w:val="single" w:sz="4" w:space="0" w:color="A6A6A6" w:themeColor="background1" w:themeShade="A6"/>
            </w:tcBorders>
            <w:shd w:val="clear" w:color="auto" w:fill="auto"/>
          </w:tcPr>
          <w:p w14:paraId="041E34CC" w14:textId="77777777" w:rsidR="003741ED" w:rsidRPr="00430317" w:rsidRDefault="003741ED" w:rsidP="00F727E9">
            <w:pPr>
              <w:pStyle w:val="TableText"/>
              <w:spacing w:before="30" w:after="30"/>
              <w:jc w:val="center"/>
            </w:pPr>
            <w:r w:rsidRPr="00430317">
              <w:t>147</w:t>
            </w:r>
          </w:p>
        </w:tc>
        <w:tc>
          <w:tcPr>
            <w:tcW w:w="1418" w:type="dxa"/>
            <w:shd w:val="clear" w:color="auto" w:fill="auto"/>
          </w:tcPr>
          <w:p w14:paraId="041E34CD" w14:textId="77777777" w:rsidR="003741ED" w:rsidRPr="00430317" w:rsidRDefault="003741ED" w:rsidP="00F727E9">
            <w:pPr>
              <w:pStyle w:val="TableText"/>
              <w:spacing w:before="30" w:after="30"/>
              <w:jc w:val="center"/>
            </w:pPr>
            <w:r w:rsidRPr="00430317">
              <w:rPr>
                <w:w w:val="101"/>
              </w:rPr>
              <w:t>3350–3371</w:t>
            </w:r>
          </w:p>
        </w:tc>
      </w:tr>
      <w:tr w:rsidR="003741ED" w:rsidRPr="00430317" w14:paraId="041E34D7" w14:textId="77777777" w:rsidTr="002B1E0A">
        <w:trPr>
          <w:cantSplit/>
        </w:trPr>
        <w:tc>
          <w:tcPr>
            <w:tcW w:w="567" w:type="dxa"/>
            <w:shd w:val="clear" w:color="auto" w:fill="auto"/>
          </w:tcPr>
          <w:p w14:paraId="041E34CF" w14:textId="77777777" w:rsidR="003741ED" w:rsidRPr="00430317" w:rsidRDefault="003741ED" w:rsidP="00F727E9">
            <w:pPr>
              <w:pStyle w:val="TableText"/>
              <w:spacing w:before="30" w:after="30"/>
              <w:jc w:val="center"/>
            </w:pPr>
            <w:r w:rsidRPr="00430317">
              <w:t>28</w:t>
            </w:r>
          </w:p>
        </w:tc>
        <w:tc>
          <w:tcPr>
            <w:tcW w:w="1488" w:type="dxa"/>
            <w:tcBorders>
              <w:right w:val="single" w:sz="4" w:space="0" w:color="A6A6A6" w:themeColor="background1" w:themeShade="A6"/>
            </w:tcBorders>
            <w:shd w:val="clear" w:color="auto" w:fill="auto"/>
          </w:tcPr>
          <w:p w14:paraId="041E34D0" w14:textId="77777777" w:rsidR="003741ED" w:rsidRPr="00430317" w:rsidRDefault="003741ED" w:rsidP="00F727E9">
            <w:pPr>
              <w:pStyle w:val="TableText"/>
              <w:spacing w:before="30" w:after="30"/>
              <w:jc w:val="center"/>
            </w:pPr>
            <w:r w:rsidRPr="00430317">
              <w:rPr>
                <w:w w:val="101"/>
              </w:rPr>
              <w:t>752–774</w:t>
            </w:r>
          </w:p>
        </w:tc>
        <w:tc>
          <w:tcPr>
            <w:tcW w:w="497" w:type="dxa"/>
            <w:tcBorders>
              <w:left w:val="single" w:sz="4" w:space="0" w:color="A6A6A6" w:themeColor="background1" w:themeShade="A6"/>
            </w:tcBorders>
            <w:shd w:val="clear" w:color="auto" w:fill="auto"/>
          </w:tcPr>
          <w:p w14:paraId="041E34D1" w14:textId="77777777" w:rsidR="003741ED" w:rsidRPr="00430317" w:rsidRDefault="003741ED" w:rsidP="00F727E9">
            <w:pPr>
              <w:pStyle w:val="TableText"/>
              <w:spacing w:before="30" w:after="30"/>
              <w:jc w:val="center"/>
            </w:pPr>
            <w:r w:rsidRPr="00430317">
              <w:t>68</w:t>
            </w:r>
          </w:p>
        </w:tc>
        <w:tc>
          <w:tcPr>
            <w:tcW w:w="1559" w:type="dxa"/>
            <w:tcBorders>
              <w:right w:val="single" w:sz="4" w:space="0" w:color="A6A6A6" w:themeColor="background1" w:themeShade="A6"/>
            </w:tcBorders>
            <w:shd w:val="clear" w:color="auto" w:fill="auto"/>
          </w:tcPr>
          <w:p w14:paraId="041E34D2" w14:textId="77777777" w:rsidR="003741ED" w:rsidRPr="00430317" w:rsidRDefault="003741ED" w:rsidP="00F727E9">
            <w:pPr>
              <w:pStyle w:val="TableText"/>
              <w:spacing w:before="30" w:after="30"/>
              <w:jc w:val="center"/>
            </w:pPr>
            <w:r w:rsidRPr="00430317">
              <w:rPr>
                <w:w w:val="101"/>
              </w:rPr>
              <w:t>1646–1667</w:t>
            </w:r>
          </w:p>
        </w:tc>
        <w:tc>
          <w:tcPr>
            <w:tcW w:w="425" w:type="dxa"/>
            <w:tcBorders>
              <w:left w:val="single" w:sz="4" w:space="0" w:color="A6A6A6" w:themeColor="background1" w:themeShade="A6"/>
            </w:tcBorders>
            <w:shd w:val="clear" w:color="auto" w:fill="auto"/>
          </w:tcPr>
          <w:p w14:paraId="041E34D3" w14:textId="77777777" w:rsidR="003741ED" w:rsidRPr="00430317" w:rsidRDefault="003741ED" w:rsidP="00F727E9">
            <w:pPr>
              <w:pStyle w:val="TableText"/>
              <w:spacing w:before="30" w:after="30"/>
              <w:jc w:val="center"/>
            </w:pPr>
            <w:r w:rsidRPr="00430317">
              <w:t>108</w:t>
            </w:r>
          </w:p>
        </w:tc>
        <w:tc>
          <w:tcPr>
            <w:tcW w:w="1488" w:type="dxa"/>
            <w:tcBorders>
              <w:right w:val="single" w:sz="4" w:space="0" w:color="A6A6A6" w:themeColor="background1" w:themeShade="A6"/>
            </w:tcBorders>
            <w:shd w:val="clear" w:color="auto" w:fill="auto"/>
          </w:tcPr>
          <w:p w14:paraId="041E34D4" w14:textId="77777777" w:rsidR="003741ED" w:rsidRPr="00430317" w:rsidRDefault="003741ED" w:rsidP="00F727E9">
            <w:pPr>
              <w:pStyle w:val="TableText"/>
              <w:spacing w:before="30" w:after="30"/>
              <w:jc w:val="center"/>
            </w:pPr>
            <w:r w:rsidRPr="00430317">
              <w:rPr>
                <w:w w:val="101"/>
              </w:rPr>
              <w:t>2515–2535</w:t>
            </w:r>
          </w:p>
        </w:tc>
        <w:tc>
          <w:tcPr>
            <w:tcW w:w="639" w:type="dxa"/>
            <w:tcBorders>
              <w:left w:val="single" w:sz="4" w:space="0" w:color="A6A6A6" w:themeColor="background1" w:themeShade="A6"/>
            </w:tcBorders>
            <w:shd w:val="clear" w:color="auto" w:fill="auto"/>
          </w:tcPr>
          <w:p w14:paraId="041E34D5" w14:textId="77777777" w:rsidR="003741ED" w:rsidRPr="00430317" w:rsidRDefault="003741ED" w:rsidP="00F727E9">
            <w:pPr>
              <w:pStyle w:val="TableText"/>
              <w:spacing w:before="30" w:after="30"/>
              <w:jc w:val="center"/>
            </w:pPr>
            <w:r w:rsidRPr="00430317">
              <w:t>148</w:t>
            </w:r>
          </w:p>
        </w:tc>
        <w:tc>
          <w:tcPr>
            <w:tcW w:w="1418" w:type="dxa"/>
            <w:shd w:val="clear" w:color="auto" w:fill="auto"/>
          </w:tcPr>
          <w:p w14:paraId="041E34D6" w14:textId="77777777" w:rsidR="003741ED" w:rsidRPr="00430317" w:rsidRDefault="003741ED" w:rsidP="00F727E9">
            <w:pPr>
              <w:pStyle w:val="TableText"/>
              <w:spacing w:before="30" w:after="30"/>
              <w:jc w:val="center"/>
            </w:pPr>
            <w:r w:rsidRPr="00430317">
              <w:rPr>
                <w:w w:val="101"/>
              </w:rPr>
              <w:t>3372–3392</w:t>
            </w:r>
          </w:p>
        </w:tc>
      </w:tr>
      <w:tr w:rsidR="003741ED" w:rsidRPr="00430317" w14:paraId="041E34E0" w14:textId="77777777" w:rsidTr="002B1E0A">
        <w:trPr>
          <w:cantSplit/>
        </w:trPr>
        <w:tc>
          <w:tcPr>
            <w:tcW w:w="567" w:type="dxa"/>
            <w:shd w:val="clear" w:color="auto" w:fill="auto"/>
          </w:tcPr>
          <w:p w14:paraId="041E34D8" w14:textId="77777777" w:rsidR="003741ED" w:rsidRPr="00430317" w:rsidRDefault="003741ED" w:rsidP="00F727E9">
            <w:pPr>
              <w:pStyle w:val="TableText"/>
              <w:spacing w:before="30" w:after="30"/>
              <w:jc w:val="center"/>
            </w:pPr>
            <w:r w:rsidRPr="00430317">
              <w:t>29</w:t>
            </w:r>
          </w:p>
        </w:tc>
        <w:tc>
          <w:tcPr>
            <w:tcW w:w="1488" w:type="dxa"/>
            <w:tcBorders>
              <w:right w:val="single" w:sz="4" w:space="0" w:color="A6A6A6" w:themeColor="background1" w:themeShade="A6"/>
            </w:tcBorders>
            <w:shd w:val="clear" w:color="auto" w:fill="auto"/>
          </w:tcPr>
          <w:p w14:paraId="041E34D9" w14:textId="77777777" w:rsidR="003741ED" w:rsidRPr="00430317" w:rsidRDefault="003741ED" w:rsidP="00F727E9">
            <w:pPr>
              <w:pStyle w:val="TableText"/>
              <w:spacing w:before="30" w:after="30"/>
              <w:jc w:val="center"/>
            </w:pPr>
            <w:r w:rsidRPr="00430317">
              <w:rPr>
                <w:w w:val="101"/>
              </w:rPr>
              <w:t>775–796</w:t>
            </w:r>
          </w:p>
        </w:tc>
        <w:tc>
          <w:tcPr>
            <w:tcW w:w="497" w:type="dxa"/>
            <w:tcBorders>
              <w:left w:val="single" w:sz="4" w:space="0" w:color="A6A6A6" w:themeColor="background1" w:themeShade="A6"/>
            </w:tcBorders>
            <w:shd w:val="clear" w:color="auto" w:fill="auto"/>
          </w:tcPr>
          <w:p w14:paraId="041E34DA" w14:textId="77777777" w:rsidR="003741ED" w:rsidRPr="00430317" w:rsidRDefault="003741ED" w:rsidP="00F727E9">
            <w:pPr>
              <w:pStyle w:val="TableText"/>
              <w:spacing w:before="30" w:after="30"/>
              <w:jc w:val="center"/>
            </w:pPr>
            <w:r w:rsidRPr="00430317">
              <w:t>69</w:t>
            </w:r>
          </w:p>
        </w:tc>
        <w:tc>
          <w:tcPr>
            <w:tcW w:w="1559" w:type="dxa"/>
            <w:tcBorders>
              <w:right w:val="single" w:sz="4" w:space="0" w:color="A6A6A6" w:themeColor="background1" w:themeShade="A6"/>
            </w:tcBorders>
            <w:shd w:val="clear" w:color="auto" w:fill="auto"/>
          </w:tcPr>
          <w:p w14:paraId="041E34DB" w14:textId="77777777" w:rsidR="003741ED" w:rsidRPr="00430317" w:rsidRDefault="003741ED" w:rsidP="00F727E9">
            <w:pPr>
              <w:pStyle w:val="TableText"/>
              <w:spacing w:before="30" w:after="30"/>
              <w:jc w:val="center"/>
            </w:pPr>
            <w:r w:rsidRPr="00430317">
              <w:rPr>
                <w:w w:val="101"/>
              </w:rPr>
              <w:t>1668–1689</w:t>
            </w:r>
          </w:p>
        </w:tc>
        <w:tc>
          <w:tcPr>
            <w:tcW w:w="425" w:type="dxa"/>
            <w:tcBorders>
              <w:left w:val="single" w:sz="4" w:space="0" w:color="A6A6A6" w:themeColor="background1" w:themeShade="A6"/>
            </w:tcBorders>
            <w:shd w:val="clear" w:color="auto" w:fill="auto"/>
          </w:tcPr>
          <w:p w14:paraId="041E34DC" w14:textId="77777777" w:rsidR="003741ED" w:rsidRPr="00430317" w:rsidRDefault="003741ED" w:rsidP="00F727E9">
            <w:pPr>
              <w:pStyle w:val="TableText"/>
              <w:spacing w:before="30" w:after="30"/>
              <w:jc w:val="center"/>
            </w:pPr>
            <w:r w:rsidRPr="00430317">
              <w:t>109</w:t>
            </w:r>
          </w:p>
        </w:tc>
        <w:tc>
          <w:tcPr>
            <w:tcW w:w="1488" w:type="dxa"/>
            <w:tcBorders>
              <w:right w:val="single" w:sz="4" w:space="0" w:color="A6A6A6" w:themeColor="background1" w:themeShade="A6"/>
            </w:tcBorders>
            <w:shd w:val="clear" w:color="auto" w:fill="auto"/>
          </w:tcPr>
          <w:p w14:paraId="041E34DD" w14:textId="77777777" w:rsidR="003741ED" w:rsidRPr="00430317" w:rsidRDefault="003741ED" w:rsidP="00F727E9">
            <w:pPr>
              <w:pStyle w:val="TableText"/>
              <w:spacing w:before="30" w:after="30"/>
              <w:jc w:val="center"/>
            </w:pPr>
            <w:r w:rsidRPr="00430317">
              <w:rPr>
                <w:w w:val="101"/>
              </w:rPr>
              <w:t>2536–2557</w:t>
            </w:r>
          </w:p>
        </w:tc>
        <w:tc>
          <w:tcPr>
            <w:tcW w:w="639" w:type="dxa"/>
            <w:tcBorders>
              <w:left w:val="single" w:sz="4" w:space="0" w:color="A6A6A6" w:themeColor="background1" w:themeShade="A6"/>
            </w:tcBorders>
            <w:shd w:val="clear" w:color="auto" w:fill="auto"/>
          </w:tcPr>
          <w:p w14:paraId="041E34DE" w14:textId="77777777" w:rsidR="003741ED" w:rsidRPr="00430317" w:rsidRDefault="003741ED" w:rsidP="00F727E9">
            <w:pPr>
              <w:pStyle w:val="TableText"/>
              <w:spacing w:before="30" w:after="30"/>
              <w:jc w:val="center"/>
            </w:pPr>
            <w:r w:rsidRPr="00430317">
              <w:t>149</w:t>
            </w:r>
          </w:p>
        </w:tc>
        <w:tc>
          <w:tcPr>
            <w:tcW w:w="1418" w:type="dxa"/>
            <w:shd w:val="clear" w:color="auto" w:fill="auto"/>
          </w:tcPr>
          <w:p w14:paraId="041E34DF" w14:textId="77777777" w:rsidR="003741ED" w:rsidRPr="00430317" w:rsidRDefault="003741ED" w:rsidP="00F727E9">
            <w:pPr>
              <w:pStyle w:val="TableText"/>
              <w:spacing w:before="30" w:after="30"/>
              <w:jc w:val="center"/>
            </w:pPr>
            <w:r w:rsidRPr="00430317">
              <w:rPr>
                <w:w w:val="101"/>
              </w:rPr>
              <w:t>3393–3413</w:t>
            </w:r>
          </w:p>
        </w:tc>
      </w:tr>
      <w:tr w:rsidR="003741ED" w:rsidRPr="00430317" w14:paraId="041E34E9" w14:textId="77777777" w:rsidTr="002B1E0A">
        <w:trPr>
          <w:cantSplit/>
        </w:trPr>
        <w:tc>
          <w:tcPr>
            <w:tcW w:w="567" w:type="dxa"/>
            <w:shd w:val="clear" w:color="auto" w:fill="auto"/>
          </w:tcPr>
          <w:p w14:paraId="041E34E1" w14:textId="77777777" w:rsidR="003741ED" w:rsidRPr="00430317" w:rsidRDefault="003741ED" w:rsidP="00F727E9">
            <w:pPr>
              <w:pStyle w:val="TableText"/>
              <w:spacing w:before="30" w:after="30"/>
              <w:jc w:val="center"/>
            </w:pPr>
            <w:r w:rsidRPr="00430317">
              <w:t>30</w:t>
            </w:r>
          </w:p>
        </w:tc>
        <w:tc>
          <w:tcPr>
            <w:tcW w:w="1488" w:type="dxa"/>
            <w:tcBorders>
              <w:right w:val="single" w:sz="4" w:space="0" w:color="A6A6A6" w:themeColor="background1" w:themeShade="A6"/>
            </w:tcBorders>
            <w:shd w:val="clear" w:color="auto" w:fill="auto"/>
          </w:tcPr>
          <w:p w14:paraId="041E34E2" w14:textId="77777777" w:rsidR="003741ED" w:rsidRPr="00430317" w:rsidRDefault="003741ED" w:rsidP="00F727E9">
            <w:pPr>
              <w:pStyle w:val="TableText"/>
              <w:spacing w:before="30" w:after="30"/>
              <w:jc w:val="center"/>
            </w:pPr>
            <w:r w:rsidRPr="00430317">
              <w:rPr>
                <w:w w:val="101"/>
              </w:rPr>
              <w:t>797–819</w:t>
            </w:r>
          </w:p>
        </w:tc>
        <w:tc>
          <w:tcPr>
            <w:tcW w:w="497" w:type="dxa"/>
            <w:tcBorders>
              <w:left w:val="single" w:sz="4" w:space="0" w:color="A6A6A6" w:themeColor="background1" w:themeShade="A6"/>
            </w:tcBorders>
            <w:shd w:val="clear" w:color="auto" w:fill="auto"/>
          </w:tcPr>
          <w:p w14:paraId="041E34E3" w14:textId="77777777" w:rsidR="003741ED" w:rsidRPr="00430317" w:rsidRDefault="003741ED" w:rsidP="00F727E9">
            <w:pPr>
              <w:pStyle w:val="TableText"/>
              <w:spacing w:before="30" w:after="30"/>
              <w:jc w:val="center"/>
            </w:pPr>
            <w:r w:rsidRPr="00430317">
              <w:t>70</w:t>
            </w:r>
          </w:p>
        </w:tc>
        <w:tc>
          <w:tcPr>
            <w:tcW w:w="1559" w:type="dxa"/>
            <w:tcBorders>
              <w:right w:val="single" w:sz="4" w:space="0" w:color="A6A6A6" w:themeColor="background1" w:themeShade="A6"/>
            </w:tcBorders>
            <w:shd w:val="clear" w:color="auto" w:fill="auto"/>
          </w:tcPr>
          <w:p w14:paraId="041E34E4" w14:textId="77777777" w:rsidR="003741ED" w:rsidRPr="00430317" w:rsidRDefault="003741ED" w:rsidP="00F727E9">
            <w:pPr>
              <w:pStyle w:val="TableText"/>
              <w:spacing w:before="30" w:after="30"/>
              <w:jc w:val="center"/>
            </w:pPr>
            <w:r w:rsidRPr="00430317">
              <w:rPr>
                <w:w w:val="101"/>
              </w:rPr>
              <w:t>1690–1711</w:t>
            </w:r>
          </w:p>
        </w:tc>
        <w:tc>
          <w:tcPr>
            <w:tcW w:w="425" w:type="dxa"/>
            <w:tcBorders>
              <w:left w:val="single" w:sz="4" w:space="0" w:color="A6A6A6" w:themeColor="background1" w:themeShade="A6"/>
            </w:tcBorders>
            <w:shd w:val="clear" w:color="auto" w:fill="auto"/>
          </w:tcPr>
          <w:p w14:paraId="041E34E5" w14:textId="77777777" w:rsidR="003741ED" w:rsidRPr="00430317" w:rsidRDefault="003741ED" w:rsidP="00F727E9">
            <w:pPr>
              <w:pStyle w:val="TableText"/>
              <w:spacing w:before="30" w:after="30"/>
              <w:jc w:val="center"/>
            </w:pPr>
            <w:r w:rsidRPr="00430317">
              <w:t>110</w:t>
            </w:r>
          </w:p>
        </w:tc>
        <w:tc>
          <w:tcPr>
            <w:tcW w:w="1488" w:type="dxa"/>
            <w:tcBorders>
              <w:right w:val="single" w:sz="4" w:space="0" w:color="A6A6A6" w:themeColor="background1" w:themeShade="A6"/>
            </w:tcBorders>
            <w:shd w:val="clear" w:color="auto" w:fill="auto"/>
          </w:tcPr>
          <w:p w14:paraId="041E34E6" w14:textId="77777777" w:rsidR="003741ED" w:rsidRPr="00430317" w:rsidRDefault="003741ED" w:rsidP="00F727E9">
            <w:pPr>
              <w:pStyle w:val="TableText"/>
              <w:spacing w:before="30" w:after="30"/>
              <w:jc w:val="center"/>
            </w:pPr>
            <w:r w:rsidRPr="00430317">
              <w:rPr>
                <w:w w:val="101"/>
              </w:rPr>
              <w:t>2558–2578</w:t>
            </w:r>
          </w:p>
        </w:tc>
        <w:tc>
          <w:tcPr>
            <w:tcW w:w="639" w:type="dxa"/>
            <w:tcBorders>
              <w:left w:val="single" w:sz="4" w:space="0" w:color="A6A6A6" w:themeColor="background1" w:themeShade="A6"/>
            </w:tcBorders>
            <w:shd w:val="clear" w:color="auto" w:fill="auto"/>
          </w:tcPr>
          <w:p w14:paraId="041E34E7" w14:textId="77777777" w:rsidR="003741ED" w:rsidRPr="00430317" w:rsidRDefault="003741ED" w:rsidP="00F727E9">
            <w:pPr>
              <w:pStyle w:val="TableText"/>
              <w:spacing w:before="30" w:after="30"/>
              <w:jc w:val="center"/>
            </w:pPr>
            <w:r w:rsidRPr="00430317">
              <w:t>150</w:t>
            </w:r>
          </w:p>
        </w:tc>
        <w:tc>
          <w:tcPr>
            <w:tcW w:w="1418" w:type="dxa"/>
            <w:shd w:val="clear" w:color="auto" w:fill="auto"/>
          </w:tcPr>
          <w:p w14:paraId="041E34E8" w14:textId="77777777" w:rsidR="003741ED" w:rsidRPr="00430317" w:rsidRDefault="003741ED" w:rsidP="00F727E9">
            <w:pPr>
              <w:pStyle w:val="TableText"/>
              <w:spacing w:before="30" w:after="30"/>
              <w:jc w:val="center"/>
            </w:pPr>
            <w:r w:rsidRPr="00430317">
              <w:rPr>
                <w:w w:val="101"/>
              </w:rPr>
              <w:t>3414–3434</w:t>
            </w:r>
          </w:p>
        </w:tc>
      </w:tr>
      <w:tr w:rsidR="003741ED" w:rsidRPr="00430317" w14:paraId="041E34F2" w14:textId="77777777" w:rsidTr="002B1E0A">
        <w:trPr>
          <w:cantSplit/>
        </w:trPr>
        <w:tc>
          <w:tcPr>
            <w:tcW w:w="567" w:type="dxa"/>
            <w:shd w:val="clear" w:color="auto" w:fill="auto"/>
          </w:tcPr>
          <w:p w14:paraId="041E34EA" w14:textId="77777777" w:rsidR="003741ED" w:rsidRPr="00430317" w:rsidRDefault="003741ED" w:rsidP="00F727E9">
            <w:pPr>
              <w:pStyle w:val="TableText"/>
              <w:spacing w:before="30" w:after="30"/>
              <w:jc w:val="center"/>
            </w:pPr>
            <w:r w:rsidRPr="00430317">
              <w:t>31</w:t>
            </w:r>
          </w:p>
        </w:tc>
        <w:tc>
          <w:tcPr>
            <w:tcW w:w="1488" w:type="dxa"/>
            <w:tcBorders>
              <w:right w:val="single" w:sz="4" w:space="0" w:color="A6A6A6" w:themeColor="background1" w:themeShade="A6"/>
            </w:tcBorders>
            <w:shd w:val="clear" w:color="auto" w:fill="auto"/>
          </w:tcPr>
          <w:p w14:paraId="041E34EB" w14:textId="77777777" w:rsidR="003741ED" w:rsidRPr="00430317" w:rsidRDefault="003741ED" w:rsidP="00F727E9">
            <w:pPr>
              <w:pStyle w:val="TableText"/>
              <w:spacing w:before="30" w:after="30"/>
              <w:jc w:val="center"/>
            </w:pPr>
            <w:r w:rsidRPr="00430317">
              <w:rPr>
                <w:w w:val="101"/>
              </w:rPr>
              <w:t>820–842</w:t>
            </w:r>
          </w:p>
        </w:tc>
        <w:tc>
          <w:tcPr>
            <w:tcW w:w="497" w:type="dxa"/>
            <w:tcBorders>
              <w:left w:val="single" w:sz="4" w:space="0" w:color="A6A6A6" w:themeColor="background1" w:themeShade="A6"/>
            </w:tcBorders>
            <w:shd w:val="clear" w:color="auto" w:fill="auto"/>
          </w:tcPr>
          <w:p w14:paraId="041E34EC" w14:textId="77777777" w:rsidR="003741ED" w:rsidRPr="00430317" w:rsidRDefault="003741ED" w:rsidP="00F727E9">
            <w:pPr>
              <w:pStyle w:val="TableText"/>
              <w:spacing w:before="30" w:after="30"/>
              <w:jc w:val="center"/>
            </w:pPr>
            <w:r w:rsidRPr="00430317">
              <w:t>71</w:t>
            </w:r>
          </w:p>
        </w:tc>
        <w:tc>
          <w:tcPr>
            <w:tcW w:w="1559" w:type="dxa"/>
            <w:tcBorders>
              <w:right w:val="single" w:sz="4" w:space="0" w:color="A6A6A6" w:themeColor="background1" w:themeShade="A6"/>
            </w:tcBorders>
            <w:shd w:val="clear" w:color="auto" w:fill="auto"/>
          </w:tcPr>
          <w:p w14:paraId="041E34ED" w14:textId="77777777" w:rsidR="003741ED" w:rsidRPr="00430317" w:rsidRDefault="003741ED" w:rsidP="00F727E9">
            <w:pPr>
              <w:pStyle w:val="TableText"/>
              <w:spacing w:before="30" w:after="30"/>
              <w:jc w:val="center"/>
            </w:pPr>
            <w:r w:rsidRPr="00430317">
              <w:rPr>
                <w:w w:val="101"/>
              </w:rPr>
              <w:t>1712–1733</w:t>
            </w:r>
          </w:p>
        </w:tc>
        <w:tc>
          <w:tcPr>
            <w:tcW w:w="425" w:type="dxa"/>
            <w:tcBorders>
              <w:left w:val="single" w:sz="4" w:space="0" w:color="A6A6A6" w:themeColor="background1" w:themeShade="A6"/>
            </w:tcBorders>
            <w:shd w:val="clear" w:color="auto" w:fill="auto"/>
          </w:tcPr>
          <w:p w14:paraId="041E34EE" w14:textId="77777777" w:rsidR="003741ED" w:rsidRPr="00430317" w:rsidRDefault="003741ED" w:rsidP="00F727E9">
            <w:pPr>
              <w:pStyle w:val="TableText"/>
              <w:spacing w:before="30" w:after="30"/>
              <w:jc w:val="center"/>
            </w:pPr>
            <w:r w:rsidRPr="00430317">
              <w:t>111</w:t>
            </w:r>
          </w:p>
        </w:tc>
        <w:tc>
          <w:tcPr>
            <w:tcW w:w="1488" w:type="dxa"/>
            <w:tcBorders>
              <w:right w:val="single" w:sz="4" w:space="0" w:color="A6A6A6" w:themeColor="background1" w:themeShade="A6"/>
            </w:tcBorders>
            <w:shd w:val="clear" w:color="auto" w:fill="auto"/>
          </w:tcPr>
          <w:p w14:paraId="041E34EF" w14:textId="77777777" w:rsidR="003741ED" w:rsidRPr="00430317" w:rsidRDefault="003741ED" w:rsidP="00F727E9">
            <w:pPr>
              <w:pStyle w:val="TableText"/>
              <w:spacing w:before="30" w:after="30"/>
              <w:jc w:val="center"/>
            </w:pPr>
            <w:r w:rsidRPr="00430317">
              <w:rPr>
                <w:w w:val="101"/>
              </w:rPr>
              <w:t>2579–2600</w:t>
            </w:r>
          </w:p>
        </w:tc>
        <w:tc>
          <w:tcPr>
            <w:tcW w:w="639" w:type="dxa"/>
            <w:tcBorders>
              <w:left w:val="single" w:sz="4" w:space="0" w:color="A6A6A6" w:themeColor="background1" w:themeShade="A6"/>
            </w:tcBorders>
            <w:shd w:val="clear" w:color="auto" w:fill="auto"/>
          </w:tcPr>
          <w:p w14:paraId="041E34F0" w14:textId="77777777" w:rsidR="003741ED" w:rsidRPr="00430317" w:rsidRDefault="003741ED" w:rsidP="00F727E9">
            <w:pPr>
              <w:pStyle w:val="TableText"/>
              <w:spacing w:before="30" w:after="30"/>
              <w:jc w:val="center"/>
            </w:pPr>
            <w:r w:rsidRPr="00430317">
              <w:t>151</w:t>
            </w:r>
          </w:p>
        </w:tc>
        <w:tc>
          <w:tcPr>
            <w:tcW w:w="1418" w:type="dxa"/>
            <w:shd w:val="clear" w:color="auto" w:fill="auto"/>
          </w:tcPr>
          <w:p w14:paraId="041E34F1" w14:textId="77777777" w:rsidR="003741ED" w:rsidRPr="00430317" w:rsidRDefault="003741ED" w:rsidP="00F727E9">
            <w:pPr>
              <w:pStyle w:val="TableText"/>
              <w:spacing w:before="30" w:after="30"/>
              <w:jc w:val="center"/>
            </w:pPr>
            <w:r w:rsidRPr="00430317">
              <w:rPr>
                <w:w w:val="101"/>
              </w:rPr>
              <w:t>3435–3456</w:t>
            </w:r>
          </w:p>
        </w:tc>
      </w:tr>
      <w:tr w:rsidR="003741ED" w:rsidRPr="00430317" w14:paraId="041E34FB" w14:textId="77777777" w:rsidTr="002B1E0A">
        <w:trPr>
          <w:cantSplit/>
        </w:trPr>
        <w:tc>
          <w:tcPr>
            <w:tcW w:w="567" w:type="dxa"/>
            <w:shd w:val="clear" w:color="auto" w:fill="auto"/>
          </w:tcPr>
          <w:p w14:paraId="041E34F3" w14:textId="77777777" w:rsidR="003741ED" w:rsidRPr="00430317" w:rsidRDefault="003741ED" w:rsidP="00F727E9">
            <w:pPr>
              <w:pStyle w:val="TableText"/>
              <w:spacing w:before="30" w:after="30"/>
              <w:jc w:val="center"/>
            </w:pPr>
            <w:r w:rsidRPr="00430317">
              <w:t>32</w:t>
            </w:r>
          </w:p>
        </w:tc>
        <w:tc>
          <w:tcPr>
            <w:tcW w:w="1488" w:type="dxa"/>
            <w:tcBorders>
              <w:right w:val="single" w:sz="4" w:space="0" w:color="A6A6A6" w:themeColor="background1" w:themeShade="A6"/>
            </w:tcBorders>
            <w:shd w:val="clear" w:color="auto" w:fill="auto"/>
          </w:tcPr>
          <w:p w14:paraId="041E34F4" w14:textId="77777777" w:rsidR="003741ED" w:rsidRPr="00430317" w:rsidRDefault="003741ED" w:rsidP="00F727E9">
            <w:pPr>
              <w:pStyle w:val="TableText"/>
              <w:spacing w:before="30" w:after="30"/>
              <w:jc w:val="center"/>
            </w:pPr>
            <w:r w:rsidRPr="00430317">
              <w:rPr>
                <w:w w:val="101"/>
              </w:rPr>
              <w:t>843–865</w:t>
            </w:r>
          </w:p>
        </w:tc>
        <w:tc>
          <w:tcPr>
            <w:tcW w:w="497" w:type="dxa"/>
            <w:tcBorders>
              <w:left w:val="single" w:sz="4" w:space="0" w:color="A6A6A6" w:themeColor="background1" w:themeShade="A6"/>
            </w:tcBorders>
            <w:shd w:val="clear" w:color="auto" w:fill="auto"/>
          </w:tcPr>
          <w:p w14:paraId="041E34F5" w14:textId="77777777" w:rsidR="003741ED" w:rsidRPr="00430317" w:rsidRDefault="003741ED" w:rsidP="00F727E9">
            <w:pPr>
              <w:pStyle w:val="TableText"/>
              <w:spacing w:before="30" w:after="30"/>
              <w:jc w:val="center"/>
            </w:pPr>
            <w:r w:rsidRPr="00430317">
              <w:t>72</w:t>
            </w:r>
          </w:p>
        </w:tc>
        <w:tc>
          <w:tcPr>
            <w:tcW w:w="1559" w:type="dxa"/>
            <w:tcBorders>
              <w:right w:val="single" w:sz="4" w:space="0" w:color="A6A6A6" w:themeColor="background1" w:themeShade="A6"/>
            </w:tcBorders>
            <w:shd w:val="clear" w:color="auto" w:fill="auto"/>
          </w:tcPr>
          <w:p w14:paraId="041E34F6" w14:textId="77777777" w:rsidR="003741ED" w:rsidRPr="00430317" w:rsidRDefault="003741ED" w:rsidP="00F727E9">
            <w:pPr>
              <w:pStyle w:val="TableText"/>
              <w:spacing w:before="30" w:after="30"/>
              <w:jc w:val="center"/>
            </w:pPr>
            <w:r w:rsidRPr="00430317">
              <w:rPr>
                <w:w w:val="101"/>
              </w:rPr>
              <w:t>1734–1755</w:t>
            </w:r>
          </w:p>
        </w:tc>
        <w:tc>
          <w:tcPr>
            <w:tcW w:w="425" w:type="dxa"/>
            <w:tcBorders>
              <w:left w:val="single" w:sz="4" w:space="0" w:color="A6A6A6" w:themeColor="background1" w:themeShade="A6"/>
            </w:tcBorders>
            <w:shd w:val="clear" w:color="auto" w:fill="auto"/>
          </w:tcPr>
          <w:p w14:paraId="041E34F7" w14:textId="77777777" w:rsidR="003741ED" w:rsidRPr="00430317" w:rsidRDefault="003741ED" w:rsidP="00F727E9">
            <w:pPr>
              <w:pStyle w:val="TableText"/>
              <w:spacing w:before="30" w:after="30"/>
              <w:jc w:val="center"/>
            </w:pPr>
            <w:r w:rsidRPr="00430317">
              <w:t>112</w:t>
            </w:r>
          </w:p>
        </w:tc>
        <w:tc>
          <w:tcPr>
            <w:tcW w:w="1488" w:type="dxa"/>
            <w:tcBorders>
              <w:right w:val="single" w:sz="4" w:space="0" w:color="A6A6A6" w:themeColor="background1" w:themeShade="A6"/>
            </w:tcBorders>
            <w:shd w:val="clear" w:color="auto" w:fill="auto"/>
          </w:tcPr>
          <w:p w14:paraId="041E34F8" w14:textId="77777777" w:rsidR="003741ED" w:rsidRPr="00430317" w:rsidRDefault="003741ED" w:rsidP="00F727E9">
            <w:pPr>
              <w:pStyle w:val="TableText"/>
              <w:spacing w:before="30" w:after="30"/>
              <w:jc w:val="center"/>
            </w:pPr>
            <w:r w:rsidRPr="00430317">
              <w:rPr>
                <w:w w:val="101"/>
              </w:rPr>
              <w:t>2601–2621</w:t>
            </w:r>
          </w:p>
        </w:tc>
        <w:tc>
          <w:tcPr>
            <w:tcW w:w="639" w:type="dxa"/>
            <w:tcBorders>
              <w:left w:val="single" w:sz="4" w:space="0" w:color="A6A6A6" w:themeColor="background1" w:themeShade="A6"/>
            </w:tcBorders>
            <w:shd w:val="clear" w:color="auto" w:fill="auto"/>
          </w:tcPr>
          <w:p w14:paraId="041E34F9" w14:textId="77777777" w:rsidR="003741ED" w:rsidRPr="00430317" w:rsidRDefault="003741ED" w:rsidP="00F727E9">
            <w:pPr>
              <w:pStyle w:val="TableText"/>
              <w:spacing w:before="30" w:after="30"/>
              <w:jc w:val="center"/>
            </w:pPr>
            <w:r w:rsidRPr="00430317">
              <w:t>152</w:t>
            </w:r>
          </w:p>
        </w:tc>
        <w:tc>
          <w:tcPr>
            <w:tcW w:w="1418" w:type="dxa"/>
            <w:shd w:val="clear" w:color="auto" w:fill="auto"/>
          </w:tcPr>
          <w:p w14:paraId="041E34FA" w14:textId="77777777" w:rsidR="003741ED" w:rsidRPr="00430317" w:rsidRDefault="003741ED" w:rsidP="00F727E9">
            <w:pPr>
              <w:pStyle w:val="TableText"/>
              <w:spacing w:before="30" w:after="30"/>
              <w:jc w:val="center"/>
            </w:pPr>
            <w:r w:rsidRPr="00430317">
              <w:rPr>
                <w:w w:val="101"/>
              </w:rPr>
              <w:t>3457–3477</w:t>
            </w:r>
          </w:p>
        </w:tc>
      </w:tr>
      <w:tr w:rsidR="003741ED" w:rsidRPr="00430317" w14:paraId="041E3504" w14:textId="77777777" w:rsidTr="002B1E0A">
        <w:trPr>
          <w:cantSplit/>
        </w:trPr>
        <w:tc>
          <w:tcPr>
            <w:tcW w:w="567" w:type="dxa"/>
            <w:shd w:val="clear" w:color="auto" w:fill="auto"/>
          </w:tcPr>
          <w:p w14:paraId="041E34FC" w14:textId="77777777" w:rsidR="003741ED" w:rsidRPr="00430317" w:rsidRDefault="003741ED" w:rsidP="00F727E9">
            <w:pPr>
              <w:pStyle w:val="TableText"/>
              <w:spacing w:before="30" w:after="30"/>
              <w:jc w:val="center"/>
            </w:pPr>
            <w:r w:rsidRPr="00430317">
              <w:t>33</w:t>
            </w:r>
          </w:p>
        </w:tc>
        <w:tc>
          <w:tcPr>
            <w:tcW w:w="1488" w:type="dxa"/>
            <w:tcBorders>
              <w:right w:val="single" w:sz="4" w:space="0" w:color="A6A6A6" w:themeColor="background1" w:themeShade="A6"/>
            </w:tcBorders>
            <w:shd w:val="clear" w:color="auto" w:fill="auto"/>
          </w:tcPr>
          <w:p w14:paraId="041E34FD" w14:textId="77777777" w:rsidR="003741ED" w:rsidRPr="00430317" w:rsidRDefault="003741ED" w:rsidP="00F727E9">
            <w:pPr>
              <w:pStyle w:val="TableText"/>
              <w:spacing w:before="30" w:after="30"/>
              <w:jc w:val="center"/>
            </w:pPr>
            <w:r w:rsidRPr="00430317">
              <w:rPr>
                <w:w w:val="101"/>
              </w:rPr>
              <w:t>866–888</w:t>
            </w:r>
          </w:p>
        </w:tc>
        <w:tc>
          <w:tcPr>
            <w:tcW w:w="497" w:type="dxa"/>
            <w:tcBorders>
              <w:left w:val="single" w:sz="4" w:space="0" w:color="A6A6A6" w:themeColor="background1" w:themeShade="A6"/>
            </w:tcBorders>
            <w:shd w:val="clear" w:color="auto" w:fill="auto"/>
          </w:tcPr>
          <w:p w14:paraId="041E34FE" w14:textId="77777777" w:rsidR="003741ED" w:rsidRPr="00430317" w:rsidRDefault="003741ED" w:rsidP="00F727E9">
            <w:pPr>
              <w:pStyle w:val="TableText"/>
              <w:spacing w:before="30" w:after="30"/>
              <w:jc w:val="center"/>
            </w:pPr>
            <w:r w:rsidRPr="00430317">
              <w:t>73</w:t>
            </w:r>
          </w:p>
        </w:tc>
        <w:tc>
          <w:tcPr>
            <w:tcW w:w="1559" w:type="dxa"/>
            <w:tcBorders>
              <w:right w:val="single" w:sz="4" w:space="0" w:color="A6A6A6" w:themeColor="background1" w:themeShade="A6"/>
            </w:tcBorders>
            <w:shd w:val="clear" w:color="auto" w:fill="auto"/>
          </w:tcPr>
          <w:p w14:paraId="041E34FF" w14:textId="77777777" w:rsidR="003741ED" w:rsidRPr="00430317" w:rsidRDefault="003741ED" w:rsidP="00F727E9">
            <w:pPr>
              <w:pStyle w:val="TableText"/>
              <w:spacing w:before="30" w:after="30"/>
              <w:jc w:val="center"/>
            </w:pPr>
            <w:r w:rsidRPr="00430317">
              <w:rPr>
                <w:w w:val="101"/>
              </w:rPr>
              <w:t>1756–1776</w:t>
            </w:r>
          </w:p>
        </w:tc>
        <w:tc>
          <w:tcPr>
            <w:tcW w:w="425" w:type="dxa"/>
            <w:tcBorders>
              <w:left w:val="single" w:sz="4" w:space="0" w:color="A6A6A6" w:themeColor="background1" w:themeShade="A6"/>
            </w:tcBorders>
            <w:shd w:val="clear" w:color="auto" w:fill="auto"/>
          </w:tcPr>
          <w:p w14:paraId="041E3500" w14:textId="77777777" w:rsidR="003741ED" w:rsidRPr="00430317" w:rsidRDefault="003741ED" w:rsidP="00F727E9">
            <w:pPr>
              <w:pStyle w:val="TableText"/>
              <w:spacing w:before="30" w:after="30"/>
              <w:jc w:val="center"/>
            </w:pPr>
            <w:r w:rsidRPr="00430317">
              <w:t>113</w:t>
            </w:r>
          </w:p>
        </w:tc>
        <w:tc>
          <w:tcPr>
            <w:tcW w:w="1488" w:type="dxa"/>
            <w:tcBorders>
              <w:right w:val="single" w:sz="4" w:space="0" w:color="A6A6A6" w:themeColor="background1" w:themeShade="A6"/>
            </w:tcBorders>
            <w:shd w:val="clear" w:color="auto" w:fill="auto"/>
          </w:tcPr>
          <w:p w14:paraId="041E3501" w14:textId="77777777" w:rsidR="003741ED" w:rsidRPr="00430317" w:rsidRDefault="003741ED" w:rsidP="00F727E9">
            <w:pPr>
              <w:pStyle w:val="TableText"/>
              <w:spacing w:before="30" w:after="30"/>
              <w:jc w:val="center"/>
            </w:pPr>
            <w:r w:rsidRPr="00430317">
              <w:rPr>
                <w:w w:val="101"/>
              </w:rPr>
              <w:t>2622–2643</w:t>
            </w:r>
          </w:p>
        </w:tc>
        <w:tc>
          <w:tcPr>
            <w:tcW w:w="639" w:type="dxa"/>
            <w:tcBorders>
              <w:left w:val="single" w:sz="4" w:space="0" w:color="A6A6A6" w:themeColor="background1" w:themeShade="A6"/>
            </w:tcBorders>
            <w:shd w:val="clear" w:color="auto" w:fill="auto"/>
          </w:tcPr>
          <w:p w14:paraId="041E3502" w14:textId="77777777" w:rsidR="003741ED" w:rsidRPr="00430317" w:rsidRDefault="003741ED" w:rsidP="00F727E9">
            <w:pPr>
              <w:pStyle w:val="TableText"/>
              <w:spacing w:before="30" w:after="30"/>
              <w:jc w:val="center"/>
            </w:pPr>
            <w:r w:rsidRPr="00430317">
              <w:t>153</w:t>
            </w:r>
          </w:p>
        </w:tc>
        <w:tc>
          <w:tcPr>
            <w:tcW w:w="1418" w:type="dxa"/>
            <w:shd w:val="clear" w:color="auto" w:fill="auto"/>
          </w:tcPr>
          <w:p w14:paraId="041E3503" w14:textId="77777777" w:rsidR="003741ED" w:rsidRPr="00430317" w:rsidRDefault="003741ED" w:rsidP="00F727E9">
            <w:pPr>
              <w:pStyle w:val="TableText"/>
              <w:spacing w:before="30" w:after="30"/>
              <w:jc w:val="center"/>
            </w:pPr>
            <w:r w:rsidRPr="00430317">
              <w:rPr>
                <w:w w:val="101"/>
              </w:rPr>
              <w:t>3478–3498</w:t>
            </w:r>
          </w:p>
        </w:tc>
      </w:tr>
      <w:tr w:rsidR="003741ED" w:rsidRPr="00430317" w14:paraId="041E350D" w14:textId="77777777" w:rsidTr="002B1E0A">
        <w:trPr>
          <w:cantSplit/>
        </w:trPr>
        <w:tc>
          <w:tcPr>
            <w:tcW w:w="567" w:type="dxa"/>
            <w:shd w:val="clear" w:color="auto" w:fill="auto"/>
          </w:tcPr>
          <w:p w14:paraId="041E3505" w14:textId="77777777" w:rsidR="003741ED" w:rsidRPr="00430317" w:rsidRDefault="003741ED" w:rsidP="00F727E9">
            <w:pPr>
              <w:pStyle w:val="TableText"/>
              <w:spacing w:before="30" w:after="30"/>
              <w:jc w:val="center"/>
            </w:pPr>
            <w:r w:rsidRPr="00430317">
              <w:t>34</w:t>
            </w:r>
          </w:p>
        </w:tc>
        <w:tc>
          <w:tcPr>
            <w:tcW w:w="1488" w:type="dxa"/>
            <w:tcBorders>
              <w:right w:val="single" w:sz="4" w:space="0" w:color="A6A6A6" w:themeColor="background1" w:themeShade="A6"/>
            </w:tcBorders>
            <w:shd w:val="clear" w:color="auto" w:fill="auto"/>
          </w:tcPr>
          <w:p w14:paraId="041E3506" w14:textId="77777777" w:rsidR="003741ED" w:rsidRPr="00430317" w:rsidRDefault="003741ED" w:rsidP="00F727E9">
            <w:pPr>
              <w:pStyle w:val="TableText"/>
              <w:spacing w:before="30" w:after="30"/>
              <w:jc w:val="center"/>
            </w:pPr>
            <w:r w:rsidRPr="00430317">
              <w:rPr>
                <w:w w:val="101"/>
              </w:rPr>
              <w:t>889–910</w:t>
            </w:r>
          </w:p>
        </w:tc>
        <w:tc>
          <w:tcPr>
            <w:tcW w:w="497" w:type="dxa"/>
            <w:tcBorders>
              <w:left w:val="single" w:sz="4" w:space="0" w:color="A6A6A6" w:themeColor="background1" w:themeShade="A6"/>
            </w:tcBorders>
            <w:shd w:val="clear" w:color="auto" w:fill="auto"/>
          </w:tcPr>
          <w:p w14:paraId="041E3507" w14:textId="77777777" w:rsidR="003741ED" w:rsidRPr="00430317" w:rsidRDefault="003741ED" w:rsidP="00F727E9">
            <w:pPr>
              <w:pStyle w:val="TableText"/>
              <w:spacing w:before="30" w:after="30"/>
              <w:jc w:val="center"/>
            </w:pPr>
            <w:r w:rsidRPr="00430317">
              <w:t>74</w:t>
            </w:r>
          </w:p>
        </w:tc>
        <w:tc>
          <w:tcPr>
            <w:tcW w:w="1559" w:type="dxa"/>
            <w:tcBorders>
              <w:right w:val="single" w:sz="4" w:space="0" w:color="A6A6A6" w:themeColor="background1" w:themeShade="A6"/>
            </w:tcBorders>
            <w:shd w:val="clear" w:color="auto" w:fill="auto"/>
          </w:tcPr>
          <w:p w14:paraId="041E3508" w14:textId="77777777" w:rsidR="003741ED" w:rsidRPr="00430317" w:rsidRDefault="003741ED" w:rsidP="00F727E9">
            <w:pPr>
              <w:pStyle w:val="TableText"/>
              <w:spacing w:before="30" w:after="30"/>
              <w:jc w:val="center"/>
            </w:pPr>
            <w:r w:rsidRPr="00430317">
              <w:rPr>
                <w:w w:val="101"/>
              </w:rPr>
              <w:t>1777–1798</w:t>
            </w:r>
          </w:p>
        </w:tc>
        <w:tc>
          <w:tcPr>
            <w:tcW w:w="425" w:type="dxa"/>
            <w:tcBorders>
              <w:left w:val="single" w:sz="4" w:space="0" w:color="A6A6A6" w:themeColor="background1" w:themeShade="A6"/>
            </w:tcBorders>
            <w:shd w:val="clear" w:color="auto" w:fill="auto"/>
          </w:tcPr>
          <w:p w14:paraId="041E3509" w14:textId="77777777" w:rsidR="003741ED" w:rsidRPr="00430317" w:rsidRDefault="003741ED" w:rsidP="00F727E9">
            <w:pPr>
              <w:pStyle w:val="TableText"/>
              <w:spacing w:before="30" w:after="30"/>
              <w:jc w:val="center"/>
            </w:pPr>
            <w:r w:rsidRPr="00430317">
              <w:t>114</w:t>
            </w:r>
          </w:p>
        </w:tc>
        <w:tc>
          <w:tcPr>
            <w:tcW w:w="1488" w:type="dxa"/>
            <w:tcBorders>
              <w:right w:val="single" w:sz="4" w:space="0" w:color="A6A6A6" w:themeColor="background1" w:themeShade="A6"/>
            </w:tcBorders>
            <w:shd w:val="clear" w:color="auto" w:fill="auto"/>
          </w:tcPr>
          <w:p w14:paraId="041E350A" w14:textId="77777777" w:rsidR="003741ED" w:rsidRPr="00430317" w:rsidRDefault="003741ED" w:rsidP="00F727E9">
            <w:pPr>
              <w:pStyle w:val="TableText"/>
              <w:spacing w:before="30" w:after="30"/>
              <w:jc w:val="center"/>
            </w:pPr>
            <w:r w:rsidRPr="00430317">
              <w:rPr>
                <w:w w:val="101"/>
              </w:rPr>
              <w:t>2644–2664</w:t>
            </w:r>
          </w:p>
        </w:tc>
        <w:tc>
          <w:tcPr>
            <w:tcW w:w="639" w:type="dxa"/>
            <w:tcBorders>
              <w:left w:val="single" w:sz="4" w:space="0" w:color="A6A6A6" w:themeColor="background1" w:themeShade="A6"/>
            </w:tcBorders>
            <w:shd w:val="clear" w:color="auto" w:fill="auto"/>
          </w:tcPr>
          <w:p w14:paraId="041E350B" w14:textId="77777777" w:rsidR="003741ED" w:rsidRPr="00430317" w:rsidRDefault="003741ED" w:rsidP="00F727E9">
            <w:pPr>
              <w:pStyle w:val="TableText"/>
              <w:spacing w:before="30" w:after="30"/>
              <w:jc w:val="center"/>
            </w:pPr>
            <w:r w:rsidRPr="00430317">
              <w:t>154</w:t>
            </w:r>
          </w:p>
        </w:tc>
        <w:tc>
          <w:tcPr>
            <w:tcW w:w="1418" w:type="dxa"/>
            <w:shd w:val="clear" w:color="auto" w:fill="auto"/>
          </w:tcPr>
          <w:p w14:paraId="041E350C" w14:textId="77777777" w:rsidR="003741ED" w:rsidRPr="00430317" w:rsidRDefault="003741ED" w:rsidP="00F727E9">
            <w:pPr>
              <w:pStyle w:val="TableText"/>
              <w:spacing w:before="30" w:after="30"/>
              <w:jc w:val="center"/>
            </w:pPr>
            <w:r w:rsidRPr="00430317">
              <w:rPr>
                <w:w w:val="101"/>
              </w:rPr>
              <w:t>3499–3520</w:t>
            </w:r>
          </w:p>
        </w:tc>
      </w:tr>
      <w:tr w:rsidR="003741ED" w:rsidRPr="00430317" w14:paraId="041E3516" w14:textId="77777777" w:rsidTr="002B1E0A">
        <w:trPr>
          <w:cantSplit/>
        </w:trPr>
        <w:tc>
          <w:tcPr>
            <w:tcW w:w="567" w:type="dxa"/>
            <w:shd w:val="clear" w:color="auto" w:fill="auto"/>
          </w:tcPr>
          <w:p w14:paraId="041E350E" w14:textId="77777777" w:rsidR="003741ED" w:rsidRPr="00430317" w:rsidRDefault="003741ED" w:rsidP="00F727E9">
            <w:pPr>
              <w:pStyle w:val="TableText"/>
              <w:spacing w:before="30" w:after="30"/>
              <w:jc w:val="center"/>
            </w:pPr>
            <w:r w:rsidRPr="00430317">
              <w:t>35</w:t>
            </w:r>
          </w:p>
        </w:tc>
        <w:tc>
          <w:tcPr>
            <w:tcW w:w="1488" w:type="dxa"/>
            <w:tcBorders>
              <w:right w:val="single" w:sz="4" w:space="0" w:color="A6A6A6" w:themeColor="background1" w:themeShade="A6"/>
            </w:tcBorders>
            <w:shd w:val="clear" w:color="auto" w:fill="auto"/>
          </w:tcPr>
          <w:p w14:paraId="041E350F" w14:textId="77777777" w:rsidR="003741ED" w:rsidRPr="00430317" w:rsidRDefault="003741ED" w:rsidP="00F727E9">
            <w:pPr>
              <w:pStyle w:val="TableText"/>
              <w:spacing w:before="30" w:after="30"/>
              <w:jc w:val="center"/>
            </w:pPr>
            <w:r w:rsidRPr="00430317">
              <w:rPr>
                <w:w w:val="101"/>
              </w:rPr>
              <w:t>911–933</w:t>
            </w:r>
          </w:p>
        </w:tc>
        <w:tc>
          <w:tcPr>
            <w:tcW w:w="497" w:type="dxa"/>
            <w:tcBorders>
              <w:left w:val="single" w:sz="4" w:space="0" w:color="A6A6A6" w:themeColor="background1" w:themeShade="A6"/>
            </w:tcBorders>
            <w:shd w:val="clear" w:color="auto" w:fill="auto"/>
          </w:tcPr>
          <w:p w14:paraId="041E3510" w14:textId="77777777" w:rsidR="003741ED" w:rsidRPr="00430317" w:rsidRDefault="003741ED" w:rsidP="00F727E9">
            <w:pPr>
              <w:pStyle w:val="TableText"/>
              <w:spacing w:before="30" w:after="30"/>
              <w:jc w:val="center"/>
            </w:pPr>
            <w:r w:rsidRPr="00430317">
              <w:t>75</w:t>
            </w:r>
          </w:p>
        </w:tc>
        <w:tc>
          <w:tcPr>
            <w:tcW w:w="1559" w:type="dxa"/>
            <w:tcBorders>
              <w:right w:val="single" w:sz="4" w:space="0" w:color="A6A6A6" w:themeColor="background1" w:themeShade="A6"/>
            </w:tcBorders>
            <w:shd w:val="clear" w:color="auto" w:fill="auto"/>
          </w:tcPr>
          <w:p w14:paraId="041E3511" w14:textId="77777777" w:rsidR="003741ED" w:rsidRPr="00430317" w:rsidRDefault="003741ED" w:rsidP="00F727E9">
            <w:pPr>
              <w:pStyle w:val="TableText"/>
              <w:spacing w:before="30" w:after="30"/>
              <w:jc w:val="center"/>
            </w:pPr>
            <w:r w:rsidRPr="00430317">
              <w:rPr>
                <w:w w:val="101"/>
              </w:rPr>
              <w:t>1799–1820</w:t>
            </w:r>
          </w:p>
        </w:tc>
        <w:tc>
          <w:tcPr>
            <w:tcW w:w="425" w:type="dxa"/>
            <w:tcBorders>
              <w:left w:val="single" w:sz="4" w:space="0" w:color="A6A6A6" w:themeColor="background1" w:themeShade="A6"/>
            </w:tcBorders>
            <w:shd w:val="clear" w:color="auto" w:fill="auto"/>
          </w:tcPr>
          <w:p w14:paraId="041E3512" w14:textId="77777777" w:rsidR="003741ED" w:rsidRPr="00430317" w:rsidRDefault="003741ED" w:rsidP="00F727E9">
            <w:pPr>
              <w:pStyle w:val="TableText"/>
              <w:spacing w:before="30" w:after="30"/>
              <w:jc w:val="center"/>
            </w:pPr>
            <w:r w:rsidRPr="00430317">
              <w:t>115</w:t>
            </w:r>
          </w:p>
        </w:tc>
        <w:tc>
          <w:tcPr>
            <w:tcW w:w="1488" w:type="dxa"/>
            <w:tcBorders>
              <w:right w:val="single" w:sz="4" w:space="0" w:color="A6A6A6" w:themeColor="background1" w:themeShade="A6"/>
            </w:tcBorders>
            <w:shd w:val="clear" w:color="auto" w:fill="auto"/>
          </w:tcPr>
          <w:p w14:paraId="041E3513" w14:textId="77777777" w:rsidR="003741ED" w:rsidRPr="00430317" w:rsidRDefault="003741ED" w:rsidP="00F727E9">
            <w:pPr>
              <w:pStyle w:val="TableText"/>
              <w:spacing w:before="30" w:after="30"/>
              <w:jc w:val="center"/>
            </w:pPr>
            <w:r w:rsidRPr="00430317">
              <w:rPr>
                <w:w w:val="101"/>
              </w:rPr>
              <w:t>2665–2686</w:t>
            </w:r>
          </w:p>
        </w:tc>
        <w:tc>
          <w:tcPr>
            <w:tcW w:w="639" w:type="dxa"/>
            <w:tcBorders>
              <w:left w:val="single" w:sz="4" w:space="0" w:color="A6A6A6" w:themeColor="background1" w:themeShade="A6"/>
            </w:tcBorders>
            <w:shd w:val="clear" w:color="auto" w:fill="auto"/>
          </w:tcPr>
          <w:p w14:paraId="041E3514" w14:textId="77777777" w:rsidR="003741ED" w:rsidRPr="00430317" w:rsidRDefault="003741ED" w:rsidP="00F727E9">
            <w:pPr>
              <w:pStyle w:val="TableText"/>
              <w:spacing w:before="30" w:after="30"/>
              <w:jc w:val="center"/>
            </w:pPr>
            <w:r w:rsidRPr="00430317">
              <w:t>155</w:t>
            </w:r>
          </w:p>
        </w:tc>
        <w:tc>
          <w:tcPr>
            <w:tcW w:w="1418" w:type="dxa"/>
            <w:shd w:val="clear" w:color="auto" w:fill="auto"/>
          </w:tcPr>
          <w:p w14:paraId="041E3515" w14:textId="77777777" w:rsidR="003741ED" w:rsidRPr="00430317" w:rsidRDefault="003741ED" w:rsidP="00F727E9">
            <w:pPr>
              <w:pStyle w:val="TableText"/>
              <w:spacing w:before="30" w:after="30"/>
              <w:jc w:val="center"/>
            </w:pPr>
            <w:r w:rsidRPr="00430317">
              <w:rPr>
                <w:w w:val="101"/>
              </w:rPr>
              <w:t>3521–3541</w:t>
            </w:r>
          </w:p>
        </w:tc>
      </w:tr>
      <w:tr w:rsidR="003741ED" w:rsidRPr="00430317" w14:paraId="041E351F" w14:textId="77777777" w:rsidTr="002B1E0A">
        <w:trPr>
          <w:cantSplit/>
        </w:trPr>
        <w:tc>
          <w:tcPr>
            <w:tcW w:w="567" w:type="dxa"/>
            <w:shd w:val="clear" w:color="auto" w:fill="auto"/>
          </w:tcPr>
          <w:p w14:paraId="041E3517" w14:textId="77777777" w:rsidR="003741ED" w:rsidRPr="00430317" w:rsidRDefault="003741ED" w:rsidP="00F727E9">
            <w:pPr>
              <w:pStyle w:val="TableText"/>
              <w:spacing w:before="30" w:after="30"/>
              <w:jc w:val="center"/>
            </w:pPr>
            <w:r w:rsidRPr="00430317">
              <w:t>36</w:t>
            </w:r>
          </w:p>
        </w:tc>
        <w:tc>
          <w:tcPr>
            <w:tcW w:w="1488" w:type="dxa"/>
            <w:tcBorders>
              <w:right w:val="single" w:sz="4" w:space="0" w:color="A6A6A6" w:themeColor="background1" w:themeShade="A6"/>
            </w:tcBorders>
            <w:shd w:val="clear" w:color="auto" w:fill="auto"/>
          </w:tcPr>
          <w:p w14:paraId="041E3518" w14:textId="77777777" w:rsidR="003741ED" w:rsidRPr="00430317" w:rsidRDefault="003741ED" w:rsidP="00F727E9">
            <w:pPr>
              <w:pStyle w:val="TableText"/>
              <w:spacing w:before="30" w:after="30"/>
              <w:jc w:val="center"/>
            </w:pPr>
            <w:r w:rsidRPr="00430317">
              <w:rPr>
                <w:w w:val="101"/>
              </w:rPr>
              <w:t>934–956</w:t>
            </w:r>
          </w:p>
        </w:tc>
        <w:tc>
          <w:tcPr>
            <w:tcW w:w="497" w:type="dxa"/>
            <w:tcBorders>
              <w:left w:val="single" w:sz="4" w:space="0" w:color="A6A6A6" w:themeColor="background1" w:themeShade="A6"/>
            </w:tcBorders>
            <w:shd w:val="clear" w:color="auto" w:fill="auto"/>
          </w:tcPr>
          <w:p w14:paraId="041E3519" w14:textId="77777777" w:rsidR="003741ED" w:rsidRPr="00430317" w:rsidRDefault="003741ED" w:rsidP="00F727E9">
            <w:pPr>
              <w:pStyle w:val="TableText"/>
              <w:spacing w:before="30" w:after="30"/>
              <w:jc w:val="center"/>
            </w:pPr>
            <w:r w:rsidRPr="00430317">
              <w:t>76</w:t>
            </w:r>
          </w:p>
        </w:tc>
        <w:tc>
          <w:tcPr>
            <w:tcW w:w="1559" w:type="dxa"/>
            <w:tcBorders>
              <w:right w:val="single" w:sz="4" w:space="0" w:color="A6A6A6" w:themeColor="background1" w:themeShade="A6"/>
            </w:tcBorders>
            <w:shd w:val="clear" w:color="auto" w:fill="auto"/>
          </w:tcPr>
          <w:p w14:paraId="041E351A" w14:textId="77777777" w:rsidR="003741ED" w:rsidRPr="00430317" w:rsidRDefault="003741ED" w:rsidP="00F727E9">
            <w:pPr>
              <w:pStyle w:val="TableText"/>
              <w:spacing w:before="30" w:after="30"/>
              <w:jc w:val="center"/>
            </w:pPr>
            <w:r w:rsidRPr="00430317">
              <w:rPr>
                <w:w w:val="101"/>
              </w:rPr>
              <w:t>1821–1842</w:t>
            </w:r>
          </w:p>
        </w:tc>
        <w:tc>
          <w:tcPr>
            <w:tcW w:w="425" w:type="dxa"/>
            <w:tcBorders>
              <w:left w:val="single" w:sz="4" w:space="0" w:color="A6A6A6" w:themeColor="background1" w:themeShade="A6"/>
            </w:tcBorders>
            <w:shd w:val="clear" w:color="auto" w:fill="auto"/>
          </w:tcPr>
          <w:p w14:paraId="041E351B" w14:textId="77777777" w:rsidR="003741ED" w:rsidRPr="00430317" w:rsidRDefault="003741ED" w:rsidP="00F727E9">
            <w:pPr>
              <w:pStyle w:val="TableText"/>
              <w:spacing w:before="30" w:after="30"/>
              <w:jc w:val="center"/>
            </w:pPr>
            <w:r w:rsidRPr="00430317">
              <w:t>116</w:t>
            </w:r>
          </w:p>
        </w:tc>
        <w:tc>
          <w:tcPr>
            <w:tcW w:w="1488" w:type="dxa"/>
            <w:tcBorders>
              <w:right w:val="single" w:sz="4" w:space="0" w:color="A6A6A6" w:themeColor="background1" w:themeShade="A6"/>
            </w:tcBorders>
            <w:shd w:val="clear" w:color="auto" w:fill="auto"/>
          </w:tcPr>
          <w:p w14:paraId="041E351C" w14:textId="77777777" w:rsidR="003741ED" w:rsidRPr="00430317" w:rsidRDefault="003741ED" w:rsidP="00F727E9">
            <w:pPr>
              <w:pStyle w:val="TableText"/>
              <w:spacing w:before="30" w:after="30"/>
              <w:jc w:val="center"/>
            </w:pPr>
            <w:r w:rsidRPr="00430317">
              <w:rPr>
                <w:w w:val="101"/>
              </w:rPr>
              <w:t>2687–2707</w:t>
            </w:r>
          </w:p>
        </w:tc>
        <w:tc>
          <w:tcPr>
            <w:tcW w:w="639" w:type="dxa"/>
            <w:tcBorders>
              <w:left w:val="single" w:sz="4" w:space="0" w:color="A6A6A6" w:themeColor="background1" w:themeShade="A6"/>
            </w:tcBorders>
            <w:shd w:val="clear" w:color="auto" w:fill="auto"/>
          </w:tcPr>
          <w:p w14:paraId="041E351D" w14:textId="77777777" w:rsidR="003741ED" w:rsidRPr="00430317" w:rsidRDefault="003741ED" w:rsidP="00F727E9">
            <w:pPr>
              <w:pStyle w:val="TableText"/>
              <w:spacing w:before="30" w:after="30"/>
              <w:jc w:val="center"/>
            </w:pPr>
            <w:r w:rsidRPr="00430317">
              <w:t>156</w:t>
            </w:r>
          </w:p>
        </w:tc>
        <w:tc>
          <w:tcPr>
            <w:tcW w:w="1418" w:type="dxa"/>
            <w:shd w:val="clear" w:color="auto" w:fill="auto"/>
          </w:tcPr>
          <w:p w14:paraId="041E351E" w14:textId="77777777" w:rsidR="003741ED" w:rsidRPr="00430317" w:rsidRDefault="003741ED" w:rsidP="00F727E9">
            <w:pPr>
              <w:pStyle w:val="TableText"/>
              <w:spacing w:before="30" w:after="30"/>
              <w:jc w:val="center"/>
            </w:pPr>
            <w:r w:rsidRPr="00430317">
              <w:rPr>
                <w:w w:val="101"/>
              </w:rPr>
              <w:t>3542–3562</w:t>
            </w:r>
          </w:p>
        </w:tc>
      </w:tr>
      <w:tr w:rsidR="003741ED" w:rsidRPr="00430317" w14:paraId="041E3528" w14:textId="77777777" w:rsidTr="002B1E0A">
        <w:trPr>
          <w:cantSplit/>
        </w:trPr>
        <w:tc>
          <w:tcPr>
            <w:tcW w:w="567" w:type="dxa"/>
            <w:shd w:val="clear" w:color="auto" w:fill="auto"/>
          </w:tcPr>
          <w:p w14:paraId="041E3520" w14:textId="77777777" w:rsidR="003741ED" w:rsidRPr="00430317" w:rsidRDefault="003741ED" w:rsidP="00F727E9">
            <w:pPr>
              <w:pStyle w:val="TableText"/>
              <w:spacing w:before="30" w:after="30"/>
              <w:jc w:val="center"/>
            </w:pPr>
            <w:r w:rsidRPr="00430317">
              <w:t>37</w:t>
            </w:r>
          </w:p>
        </w:tc>
        <w:tc>
          <w:tcPr>
            <w:tcW w:w="1488" w:type="dxa"/>
            <w:tcBorders>
              <w:right w:val="single" w:sz="4" w:space="0" w:color="A6A6A6" w:themeColor="background1" w:themeShade="A6"/>
            </w:tcBorders>
            <w:shd w:val="clear" w:color="auto" w:fill="auto"/>
          </w:tcPr>
          <w:p w14:paraId="041E3521" w14:textId="77777777" w:rsidR="003741ED" w:rsidRPr="00430317" w:rsidRDefault="003741ED" w:rsidP="00F727E9">
            <w:pPr>
              <w:pStyle w:val="TableText"/>
              <w:spacing w:before="30" w:after="30"/>
              <w:jc w:val="center"/>
            </w:pPr>
            <w:r w:rsidRPr="00430317">
              <w:rPr>
                <w:w w:val="101"/>
              </w:rPr>
              <w:t>957–978</w:t>
            </w:r>
          </w:p>
        </w:tc>
        <w:tc>
          <w:tcPr>
            <w:tcW w:w="497" w:type="dxa"/>
            <w:tcBorders>
              <w:left w:val="single" w:sz="4" w:space="0" w:color="A6A6A6" w:themeColor="background1" w:themeShade="A6"/>
            </w:tcBorders>
            <w:shd w:val="clear" w:color="auto" w:fill="auto"/>
          </w:tcPr>
          <w:p w14:paraId="041E3522" w14:textId="77777777" w:rsidR="003741ED" w:rsidRPr="00430317" w:rsidRDefault="003741ED" w:rsidP="00F727E9">
            <w:pPr>
              <w:pStyle w:val="TableText"/>
              <w:spacing w:before="30" w:after="30"/>
              <w:jc w:val="center"/>
            </w:pPr>
            <w:r w:rsidRPr="00430317">
              <w:t>77</w:t>
            </w:r>
          </w:p>
        </w:tc>
        <w:tc>
          <w:tcPr>
            <w:tcW w:w="1559" w:type="dxa"/>
            <w:tcBorders>
              <w:right w:val="single" w:sz="4" w:space="0" w:color="A6A6A6" w:themeColor="background1" w:themeShade="A6"/>
            </w:tcBorders>
            <w:shd w:val="clear" w:color="auto" w:fill="auto"/>
          </w:tcPr>
          <w:p w14:paraId="041E3523" w14:textId="77777777" w:rsidR="003741ED" w:rsidRPr="00430317" w:rsidRDefault="003741ED" w:rsidP="00F727E9">
            <w:pPr>
              <w:pStyle w:val="TableText"/>
              <w:spacing w:before="30" w:after="30"/>
              <w:jc w:val="center"/>
            </w:pPr>
            <w:r w:rsidRPr="00430317">
              <w:rPr>
                <w:w w:val="101"/>
              </w:rPr>
              <w:t>1843–1864</w:t>
            </w:r>
          </w:p>
        </w:tc>
        <w:tc>
          <w:tcPr>
            <w:tcW w:w="425" w:type="dxa"/>
            <w:tcBorders>
              <w:left w:val="single" w:sz="4" w:space="0" w:color="A6A6A6" w:themeColor="background1" w:themeShade="A6"/>
            </w:tcBorders>
            <w:shd w:val="clear" w:color="auto" w:fill="auto"/>
          </w:tcPr>
          <w:p w14:paraId="041E3524" w14:textId="77777777" w:rsidR="003741ED" w:rsidRPr="00430317" w:rsidRDefault="003741ED" w:rsidP="00F727E9">
            <w:pPr>
              <w:pStyle w:val="TableText"/>
              <w:spacing w:before="30" w:after="30"/>
              <w:jc w:val="center"/>
            </w:pPr>
            <w:r w:rsidRPr="00430317">
              <w:t>117</w:t>
            </w:r>
          </w:p>
        </w:tc>
        <w:tc>
          <w:tcPr>
            <w:tcW w:w="1488" w:type="dxa"/>
            <w:tcBorders>
              <w:right w:val="single" w:sz="4" w:space="0" w:color="A6A6A6" w:themeColor="background1" w:themeShade="A6"/>
            </w:tcBorders>
            <w:shd w:val="clear" w:color="auto" w:fill="auto"/>
          </w:tcPr>
          <w:p w14:paraId="041E3525" w14:textId="77777777" w:rsidR="003741ED" w:rsidRPr="00430317" w:rsidRDefault="003741ED" w:rsidP="00F727E9">
            <w:pPr>
              <w:pStyle w:val="TableText"/>
              <w:spacing w:before="30" w:after="30"/>
              <w:jc w:val="center"/>
            </w:pPr>
            <w:r w:rsidRPr="00430317">
              <w:rPr>
                <w:w w:val="101"/>
              </w:rPr>
              <w:t>2708–2729</w:t>
            </w:r>
          </w:p>
        </w:tc>
        <w:tc>
          <w:tcPr>
            <w:tcW w:w="639" w:type="dxa"/>
            <w:tcBorders>
              <w:left w:val="single" w:sz="4" w:space="0" w:color="A6A6A6" w:themeColor="background1" w:themeShade="A6"/>
            </w:tcBorders>
            <w:shd w:val="clear" w:color="auto" w:fill="auto"/>
          </w:tcPr>
          <w:p w14:paraId="041E3526" w14:textId="77777777" w:rsidR="003741ED" w:rsidRPr="00430317" w:rsidRDefault="003741ED" w:rsidP="00F727E9">
            <w:pPr>
              <w:pStyle w:val="TableText"/>
              <w:spacing w:before="30" w:after="30"/>
              <w:jc w:val="center"/>
            </w:pPr>
            <w:r w:rsidRPr="00430317">
              <w:t>157</w:t>
            </w:r>
          </w:p>
        </w:tc>
        <w:tc>
          <w:tcPr>
            <w:tcW w:w="1418" w:type="dxa"/>
            <w:shd w:val="clear" w:color="auto" w:fill="auto"/>
          </w:tcPr>
          <w:p w14:paraId="041E3527" w14:textId="77777777" w:rsidR="003741ED" w:rsidRPr="00430317" w:rsidRDefault="003741ED" w:rsidP="00F727E9">
            <w:pPr>
              <w:pStyle w:val="TableText"/>
              <w:spacing w:before="30" w:after="30"/>
              <w:jc w:val="center"/>
            </w:pPr>
            <w:r w:rsidRPr="00430317">
              <w:rPr>
                <w:w w:val="101"/>
              </w:rPr>
              <w:t>3563–3583</w:t>
            </w:r>
          </w:p>
        </w:tc>
      </w:tr>
      <w:tr w:rsidR="003741ED" w:rsidRPr="00430317" w14:paraId="041E3531" w14:textId="77777777" w:rsidTr="002B1E0A">
        <w:trPr>
          <w:cantSplit/>
        </w:trPr>
        <w:tc>
          <w:tcPr>
            <w:tcW w:w="567" w:type="dxa"/>
            <w:shd w:val="clear" w:color="auto" w:fill="auto"/>
          </w:tcPr>
          <w:p w14:paraId="041E3529" w14:textId="77777777" w:rsidR="003741ED" w:rsidRPr="00430317" w:rsidRDefault="003741ED" w:rsidP="00F727E9">
            <w:pPr>
              <w:pStyle w:val="TableText"/>
              <w:spacing w:before="30" w:after="30"/>
              <w:jc w:val="center"/>
            </w:pPr>
            <w:r w:rsidRPr="00430317">
              <w:t>38</w:t>
            </w:r>
          </w:p>
        </w:tc>
        <w:tc>
          <w:tcPr>
            <w:tcW w:w="1488" w:type="dxa"/>
            <w:tcBorders>
              <w:right w:val="single" w:sz="4" w:space="0" w:color="A6A6A6" w:themeColor="background1" w:themeShade="A6"/>
            </w:tcBorders>
            <w:shd w:val="clear" w:color="auto" w:fill="auto"/>
          </w:tcPr>
          <w:p w14:paraId="041E352A" w14:textId="77777777" w:rsidR="003741ED" w:rsidRPr="00430317" w:rsidRDefault="003741ED" w:rsidP="00F727E9">
            <w:pPr>
              <w:pStyle w:val="TableText"/>
              <w:spacing w:before="30" w:after="30"/>
              <w:jc w:val="center"/>
            </w:pPr>
            <w:r w:rsidRPr="00430317">
              <w:rPr>
                <w:w w:val="101"/>
              </w:rPr>
              <w:t>979–1001</w:t>
            </w:r>
          </w:p>
        </w:tc>
        <w:tc>
          <w:tcPr>
            <w:tcW w:w="497" w:type="dxa"/>
            <w:tcBorders>
              <w:left w:val="single" w:sz="4" w:space="0" w:color="A6A6A6" w:themeColor="background1" w:themeShade="A6"/>
            </w:tcBorders>
            <w:shd w:val="clear" w:color="auto" w:fill="auto"/>
          </w:tcPr>
          <w:p w14:paraId="041E352B" w14:textId="77777777" w:rsidR="003741ED" w:rsidRPr="00430317" w:rsidRDefault="003741ED" w:rsidP="00F727E9">
            <w:pPr>
              <w:pStyle w:val="TableText"/>
              <w:spacing w:before="30" w:after="30"/>
              <w:jc w:val="center"/>
            </w:pPr>
            <w:r w:rsidRPr="00430317">
              <w:t>78</w:t>
            </w:r>
          </w:p>
        </w:tc>
        <w:tc>
          <w:tcPr>
            <w:tcW w:w="1559" w:type="dxa"/>
            <w:tcBorders>
              <w:right w:val="single" w:sz="4" w:space="0" w:color="A6A6A6" w:themeColor="background1" w:themeShade="A6"/>
            </w:tcBorders>
            <w:shd w:val="clear" w:color="auto" w:fill="auto"/>
          </w:tcPr>
          <w:p w14:paraId="041E352C" w14:textId="77777777" w:rsidR="003741ED" w:rsidRPr="00430317" w:rsidRDefault="003741ED" w:rsidP="00F727E9">
            <w:pPr>
              <w:pStyle w:val="TableText"/>
              <w:spacing w:before="30" w:after="30"/>
              <w:jc w:val="center"/>
            </w:pPr>
            <w:r w:rsidRPr="00430317">
              <w:rPr>
                <w:w w:val="101"/>
              </w:rPr>
              <w:t>1865–1886</w:t>
            </w:r>
          </w:p>
        </w:tc>
        <w:tc>
          <w:tcPr>
            <w:tcW w:w="425" w:type="dxa"/>
            <w:tcBorders>
              <w:left w:val="single" w:sz="4" w:space="0" w:color="A6A6A6" w:themeColor="background1" w:themeShade="A6"/>
            </w:tcBorders>
            <w:shd w:val="clear" w:color="auto" w:fill="auto"/>
          </w:tcPr>
          <w:p w14:paraId="041E352D" w14:textId="77777777" w:rsidR="003741ED" w:rsidRPr="00430317" w:rsidRDefault="003741ED" w:rsidP="00F727E9">
            <w:pPr>
              <w:pStyle w:val="TableText"/>
              <w:spacing w:before="30" w:after="30"/>
              <w:jc w:val="center"/>
            </w:pPr>
            <w:r w:rsidRPr="00430317">
              <w:t>118</w:t>
            </w:r>
          </w:p>
        </w:tc>
        <w:tc>
          <w:tcPr>
            <w:tcW w:w="1488" w:type="dxa"/>
            <w:tcBorders>
              <w:right w:val="single" w:sz="4" w:space="0" w:color="A6A6A6" w:themeColor="background1" w:themeShade="A6"/>
            </w:tcBorders>
            <w:shd w:val="clear" w:color="auto" w:fill="auto"/>
          </w:tcPr>
          <w:p w14:paraId="041E352E" w14:textId="77777777" w:rsidR="003741ED" w:rsidRPr="00430317" w:rsidRDefault="003741ED" w:rsidP="00F727E9">
            <w:pPr>
              <w:pStyle w:val="TableText"/>
              <w:spacing w:before="30" w:after="30"/>
              <w:jc w:val="center"/>
            </w:pPr>
            <w:r w:rsidRPr="00430317">
              <w:rPr>
                <w:w w:val="101"/>
              </w:rPr>
              <w:t>2730–2750</w:t>
            </w:r>
          </w:p>
        </w:tc>
        <w:tc>
          <w:tcPr>
            <w:tcW w:w="639" w:type="dxa"/>
            <w:tcBorders>
              <w:left w:val="single" w:sz="4" w:space="0" w:color="A6A6A6" w:themeColor="background1" w:themeShade="A6"/>
            </w:tcBorders>
            <w:shd w:val="clear" w:color="auto" w:fill="auto"/>
          </w:tcPr>
          <w:p w14:paraId="041E352F" w14:textId="77777777" w:rsidR="003741ED" w:rsidRPr="00430317" w:rsidRDefault="003741ED" w:rsidP="00F727E9">
            <w:pPr>
              <w:pStyle w:val="TableText"/>
              <w:spacing w:before="30" w:after="30"/>
              <w:jc w:val="center"/>
            </w:pPr>
            <w:r w:rsidRPr="00430317">
              <w:t>158</w:t>
            </w:r>
          </w:p>
        </w:tc>
        <w:tc>
          <w:tcPr>
            <w:tcW w:w="1418" w:type="dxa"/>
            <w:shd w:val="clear" w:color="auto" w:fill="auto"/>
          </w:tcPr>
          <w:p w14:paraId="041E3530" w14:textId="77777777" w:rsidR="003741ED" w:rsidRPr="00430317" w:rsidRDefault="003741ED" w:rsidP="00F727E9">
            <w:pPr>
              <w:pStyle w:val="TableText"/>
              <w:spacing w:before="30" w:after="30"/>
              <w:jc w:val="center"/>
            </w:pPr>
            <w:r w:rsidRPr="00430317">
              <w:rPr>
                <w:w w:val="101"/>
              </w:rPr>
              <w:t>3584–3605</w:t>
            </w:r>
          </w:p>
        </w:tc>
      </w:tr>
      <w:tr w:rsidR="003741ED" w:rsidRPr="00430317" w14:paraId="041E353A" w14:textId="77777777" w:rsidTr="002B1E0A">
        <w:trPr>
          <w:cantSplit/>
        </w:trPr>
        <w:tc>
          <w:tcPr>
            <w:tcW w:w="567" w:type="dxa"/>
            <w:shd w:val="clear" w:color="auto" w:fill="auto"/>
          </w:tcPr>
          <w:p w14:paraId="041E3532" w14:textId="77777777" w:rsidR="003741ED" w:rsidRPr="00430317" w:rsidRDefault="003741ED" w:rsidP="00F727E9">
            <w:pPr>
              <w:pStyle w:val="TableText"/>
              <w:spacing w:before="30" w:after="30"/>
              <w:jc w:val="center"/>
            </w:pPr>
            <w:r w:rsidRPr="00430317">
              <w:t>39</w:t>
            </w:r>
          </w:p>
        </w:tc>
        <w:tc>
          <w:tcPr>
            <w:tcW w:w="1488" w:type="dxa"/>
            <w:tcBorders>
              <w:right w:val="single" w:sz="4" w:space="0" w:color="A6A6A6" w:themeColor="background1" w:themeShade="A6"/>
            </w:tcBorders>
            <w:shd w:val="clear" w:color="auto" w:fill="auto"/>
          </w:tcPr>
          <w:p w14:paraId="041E3533" w14:textId="77777777" w:rsidR="003741ED" w:rsidRPr="00430317" w:rsidRDefault="003741ED" w:rsidP="00F727E9">
            <w:pPr>
              <w:pStyle w:val="TableText"/>
              <w:spacing w:before="30" w:after="30"/>
              <w:jc w:val="center"/>
            </w:pPr>
            <w:r w:rsidRPr="00430317">
              <w:rPr>
                <w:w w:val="101"/>
              </w:rPr>
              <w:t>1002–1024</w:t>
            </w:r>
          </w:p>
        </w:tc>
        <w:tc>
          <w:tcPr>
            <w:tcW w:w="497" w:type="dxa"/>
            <w:tcBorders>
              <w:left w:val="single" w:sz="4" w:space="0" w:color="A6A6A6" w:themeColor="background1" w:themeShade="A6"/>
            </w:tcBorders>
            <w:shd w:val="clear" w:color="auto" w:fill="auto"/>
          </w:tcPr>
          <w:p w14:paraId="041E3534" w14:textId="77777777" w:rsidR="003741ED" w:rsidRPr="00430317" w:rsidRDefault="003741ED" w:rsidP="00F727E9">
            <w:pPr>
              <w:pStyle w:val="TableText"/>
              <w:spacing w:before="30" w:after="30"/>
              <w:jc w:val="center"/>
            </w:pPr>
            <w:r w:rsidRPr="00430317">
              <w:t>79</w:t>
            </w:r>
          </w:p>
        </w:tc>
        <w:tc>
          <w:tcPr>
            <w:tcW w:w="1559" w:type="dxa"/>
            <w:tcBorders>
              <w:right w:val="single" w:sz="4" w:space="0" w:color="A6A6A6" w:themeColor="background1" w:themeShade="A6"/>
            </w:tcBorders>
            <w:shd w:val="clear" w:color="auto" w:fill="auto"/>
          </w:tcPr>
          <w:p w14:paraId="041E3535" w14:textId="77777777" w:rsidR="003741ED" w:rsidRPr="00430317" w:rsidRDefault="003741ED" w:rsidP="00F727E9">
            <w:pPr>
              <w:pStyle w:val="TableText"/>
              <w:spacing w:before="30" w:after="30"/>
              <w:jc w:val="center"/>
            </w:pPr>
            <w:r w:rsidRPr="00430317">
              <w:rPr>
                <w:w w:val="101"/>
              </w:rPr>
              <w:t>1887–1907</w:t>
            </w:r>
          </w:p>
        </w:tc>
        <w:tc>
          <w:tcPr>
            <w:tcW w:w="425" w:type="dxa"/>
            <w:tcBorders>
              <w:left w:val="single" w:sz="4" w:space="0" w:color="A6A6A6" w:themeColor="background1" w:themeShade="A6"/>
            </w:tcBorders>
            <w:shd w:val="clear" w:color="auto" w:fill="auto"/>
          </w:tcPr>
          <w:p w14:paraId="041E3536" w14:textId="77777777" w:rsidR="003741ED" w:rsidRPr="00430317" w:rsidRDefault="003741ED" w:rsidP="00F727E9">
            <w:pPr>
              <w:pStyle w:val="TableText"/>
              <w:spacing w:before="30" w:after="30"/>
              <w:jc w:val="center"/>
            </w:pPr>
            <w:r w:rsidRPr="00430317">
              <w:t>119</w:t>
            </w:r>
          </w:p>
        </w:tc>
        <w:tc>
          <w:tcPr>
            <w:tcW w:w="1488" w:type="dxa"/>
            <w:tcBorders>
              <w:right w:val="single" w:sz="4" w:space="0" w:color="A6A6A6" w:themeColor="background1" w:themeShade="A6"/>
            </w:tcBorders>
            <w:shd w:val="clear" w:color="auto" w:fill="auto"/>
          </w:tcPr>
          <w:p w14:paraId="041E3537" w14:textId="77777777" w:rsidR="003741ED" w:rsidRPr="00430317" w:rsidRDefault="003741ED" w:rsidP="00F727E9">
            <w:pPr>
              <w:pStyle w:val="TableText"/>
              <w:spacing w:before="30" w:after="30"/>
              <w:jc w:val="center"/>
            </w:pPr>
            <w:r w:rsidRPr="00430317">
              <w:rPr>
                <w:w w:val="101"/>
              </w:rPr>
              <w:t>2751–2772</w:t>
            </w:r>
          </w:p>
        </w:tc>
        <w:tc>
          <w:tcPr>
            <w:tcW w:w="639" w:type="dxa"/>
            <w:tcBorders>
              <w:left w:val="single" w:sz="4" w:space="0" w:color="A6A6A6" w:themeColor="background1" w:themeShade="A6"/>
            </w:tcBorders>
            <w:shd w:val="clear" w:color="auto" w:fill="auto"/>
          </w:tcPr>
          <w:p w14:paraId="041E3538" w14:textId="77777777" w:rsidR="003741ED" w:rsidRPr="00430317" w:rsidRDefault="003741ED" w:rsidP="00F727E9">
            <w:pPr>
              <w:pStyle w:val="TableText"/>
              <w:spacing w:before="30" w:after="30"/>
              <w:jc w:val="center"/>
            </w:pPr>
            <w:r w:rsidRPr="00430317">
              <w:t>159</w:t>
            </w:r>
          </w:p>
        </w:tc>
        <w:tc>
          <w:tcPr>
            <w:tcW w:w="1418" w:type="dxa"/>
            <w:shd w:val="clear" w:color="auto" w:fill="auto"/>
          </w:tcPr>
          <w:p w14:paraId="041E3539" w14:textId="77777777" w:rsidR="003741ED" w:rsidRPr="00430317" w:rsidRDefault="003741ED" w:rsidP="00F727E9">
            <w:pPr>
              <w:pStyle w:val="TableText"/>
              <w:spacing w:before="30" w:after="30"/>
              <w:jc w:val="center"/>
            </w:pPr>
            <w:r w:rsidRPr="00430317">
              <w:rPr>
                <w:w w:val="101"/>
              </w:rPr>
              <w:t>3606–3626</w:t>
            </w:r>
          </w:p>
        </w:tc>
      </w:tr>
    </w:tbl>
    <w:p w14:paraId="041E353B" w14:textId="77777777" w:rsidR="003741ED" w:rsidRDefault="003741ED" w:rsidP="002B1E0A">
      <w:pPr>
        <w:pStyle w:val="Note"/>
        <w:ind w:left="0" w:firstLine="0"/>
      </w:pPr>
      <w:r w:rsidRPr="00FF243C">
        <w:t xml:space="preserve">Note: </w:t>
      </w:r>
      <w:r>
        <w:t>‘</w:t>
      </w:r>
      <w:r w:rsidRPr="00FF243C">
        <w:t>e</w:t>
      </w:r>
      <w:r>
        <w:t>’</w:t>
      </w:r>
      <w:r w:rsidRPr="00FF243C">
        <w:t xml:space="preserve"> is the maximum permissible number of </w:t>
      </w:r>
      <w:r>
        <w:t>exceedance</w:t>
      </w:r>
      <w:r w:rsidRPr="00FF243C">
        <w:t xml:space="preserve">s of a 95 percentile limit for the stated range of samples </w:t>
      </w:r>
      <w:r>
        <w:t>‘</w:t>
      </w:r>
      <w:r w:rsidRPr="00FF243C">
        <w:t>n</w:t>
      </w:r>
      <w:r>
        <w:t>’</w:t>
      </w:r>
      <w:r w:rsidRPr="00FF243C">
        <w:t xml:space="preserve">. Calculations have been made using the theory stated in McBride and Ellis (2001), using </w:t>
      </w:r>
      <w:r>
        <w:t>‘</w:t>
      </w:r>
      <w:r w:rsidRPr="00FF243C">
        <w:t>Jeffreys</w:t>
      </w:r>
      <w:r>
        <w:t>’</w:t>
      </w:r>
      <w:r w:rsidRPr="00FF243C">
        <w:t xml:space="preserve"> prior</w:t>
      </w:r>
      <w:r>
        <w:t>’</w:t>
      </w:r>
      <w:r w:rsidRPr="00FF243C">
        <w:t>. (See also McBride 2005, section 8.4.)</w:t>
      </w:r>
    </w:p>
    <w:p w14:paraId="041E353C" w14:textId="77777777" w:rsidR="002B1E0A" w:rsidRPr="002B1E0A" w:rsidRDefault="002B1E0A" w:rsidP="002B1E0A"/>
    <w:p w14:paraId="041E353D" w14:textId="77777777" w:rsidR="003741ED" w:rsidRPr="009C67E4" w:rsidRDefault="003741ED" w:rsidP="002B1E0A">
      <w:pPr>
        <w:pStyle w:val="Heading2-appendix"/>
      </w:pPr>
      <w:bookmarkStart w:id="278" w:name="_Toc350762677"/>
      <w:bookmarkStart w:id="279" w:name="_Toc364704719"/>
      <w:bookmarkStart w:id="280" w:name="_Toc8978858"/>
      <w:bookmarkStart w:id="281" w:name="_Toc8979352"/>
      <w:r w:rsidRPr="009C67E4">
        <w:t>A2</w:t>
      </w:r>
      <w:r w:rsidRPr="009C67E4">
        <w:tab/>
        <w:t>Handling non-detects</w:t>
      </w:r>
      <w:bookmarkEnd w:id="278"/>
      <w:bookmarkEnd w:id="279"/>
      <w:bookmarkEnd w:id="280"/>
      <w:bookmarkEnd w:id="281"/>
    </w:p>
    <w:p w14:paraId="041E353E" w14:textId="77777777" w:rsidR="003741ED" w:rsidRPr="00471CDB" w:rsidRDefault="003741ED" w:rsidP="002B1E0A">
      <w:r w:rsidRPr="00471CDB">
        <w:t>New Zealand chemical analysts routinely define a detection limit or limit of detection as some multiple (typically between 2 and 4) of the standard deviation of a series of blanks, and report all data measured below that limit as less than that limit.</w:t>
      </w:r>
      <w:r>
        <w:t xml:space="preserve"> </w:t>
      </w:r>
      <w:r w:rsidRPr="00471CDB">
        <w:t>Let</w:t>
      </w:r>
      <w:r>
        <w:t>’</w:t>
      </w:r>
      <w:r w:rsidRPr="00471CDB">
        <w:t xml:space="preserve">s denote the detection limit by </w:t>
      </w:r>
      <w:r w:rsidRPr="00471CDB">
        <w:rPr>
          <w:i/>
          <w:iCs/>
        </w:rPr>
        <w:t>L</w:t>
      </w:r>
      <w:r w:rsidRPr="00471CDB">
        <w:t>.</w:t>
      </w:r>
      <w:r>
        <w:t xml:space="preserve"> </w:t>
      </w:r>
      <w:r w:rsidRPr="00471CDB">
        <w:t>Three cases should be considered.</w:t>
      </w:r>
    </w:p>
    <w:p w14:paraId="041E353F" w14:textId="77777777" w:rsidR="003741ED" w:rsidRPr="00471CDB" w:rsidRDefault="003741ED" w:rsidP="003741ED">
      <w:pPr>
        <w:spacing w:before="180"/>
        <w:ind w:left="567" w:hanging="567"/>
      </w:pPr>
      <w:r>
        <w:rPr>
          <w:bCs/>
        </w:rPr>
        <w:t>1</w:t>
      </w:r>
      <w:r>
        <w:rPr>
          <w:bCs/>
        </w:rPr>
        <w:tab/>
      </w:r>
      <w:r w:rsidRPr="00471CDB">
        <w:rPr>
          <w:b/>
          <w:bCs/>
        </w:rPr>
        <w:t>Few less-than data</w:t>
      </w:r>
      <w:r w:rsidRPr="00471CDB">
        <w:t>.</w:t>
      </w:r>
      <w:r>
        <w:t xml:space="preserve"> </w:t>
      </w:r>
      <w:r w:rsidRPr="00471CDB">
        <w:t>When a dataset contains only a few data (say &lt;10</w:t>
      </w:r>
      <w:r>
        <w:t> percent</w:t>
      </w:r>
      <w:r w:rsidRPr="00471CDB">
        <w:t xml:space="preserve">) below </w:t>
      </w:r>
      <w:r w:rsidRPr="00471CDB">
        <w:rPr>
          <w:i/>
          <w:iCs/>
        </w:rPr>
        <w:t>L</w:t>
      </w:r>
      <w:r w:rsidRPr="00471CDB">
        <w:t>, analysis of those data can proceed by replacing those (left-censored) data by ½</w:t>
      </w:r>
      <w:r w:rsidRPr="00471CDB">
        <w:rPr>
          <w:i/>
          <w:iCs/>
        </w:rPr>
        <w:t>L</w:t>
      </w:r>
      <w:r w:rsidRPr="00471CDB">
        <w:t>.</w:t>
      </w:r>
      <w:r>
        <w:t xml:space="preserve"> </w:t>
      </w:r>
      <w:r w:rsidRPr="00471CDB">
        <w:t>This is a generally satisfactory procedure (Ellis 1989).</w:t>
      </w:r>
    </w:p>
    <w:p w14:paraId="041E3540" w14:textId="77777777" w:rsidR="003741ED" w:rsidRPr="00471CDB" w:rsidRDefault="003741ED" w:rsidP="003741ED">
      <w:pPr>
        <w:spacing w:before="180"/>
        <w:ind w:left="567" w:hanging="567"/>
      </w:pPr>
      <w:r>
        <w:rPr>
          <w:bCs/>
        </w:rPr>
        <w:t>2</w:t>
      </w:r>
      <w:r>
        <w:rPr>
          <w:bCs/>
        </w:rPr>
        <w:tab/>
      </w:r>
      <w:r w:rsidRPr="00471CDB">
        <w:rPr>
          <w:b/>
          <w:bCs/>
        </w:rPr>
        <w:t>A moderate amount of less-than data</w:t>
      </w:r>
      <w:r w:rsidRPr="00471CDB">
        <w:t>.</w:t>
      </w:r>
      <w:r>
        <w:t xml:space="preserve"> </w:t>
      </w:r>
      <w:r w:rsidRPr="00471CDB">
        <w:t>If there are a moderate number of censored data, replacement by ½</w:t>
      </w:r>
      <w:r w:rsidRPr="00471CDB">
        <w:rPr>
          <w:i/>
        </w:rPr>
        <w:t>L</w:t>
      </w:r>
      <w:r w:rsidRPr="00471CDB">
        <w:t xml:space="preserve"> is unsatisfactory.</w:t>
      </w:r>
      <w:r>
        <w:t xml:space="preserve"> </w:t>
      </w:r>
      <w:r w:rsidRPr="00471CDB">
        <w:t xml:space="preserve">Instead, use a statistical distribution fitting method (Helsel </w:t>
      </w:r>
      <w:r>
        <w:t>and</w:t>
      </w:r>
      <w:r w:rsidRPr="00471CDB">
        <w:t xml:space="preserve"> Hirsch 1992</w:t>
      </w:r>
      <w:r>
        <w:t>,</w:t>
      </w:r>
      <w:r w:rsidRPr="00471CDB">
        <w:t xml:space="preserve"> and Helsel 2005), as depicted on Figure </w:t>
      </w:r>
      <w:r>
        <w:t>A</w:t>
      </w:r>
      <w:r w:rsidRPr="00471CDB">
        <w:t>1, ie</w:t>
      </w:r>
      <w:r>
        <w:t>:</w:t>
      </w:r>
    </w:p>
    <w:p w14:paraId="041E3541" w14:textId="77777777" w:rsidR="003741ED" w:rsidRPr="00471CDB" w:rsidRDefault="003741ED" w:rsidP="002B1E0A">
      <w:pPr>
        <w:pStyle w:val="Bullet"/>
        <w:ind w:left="851"/>
      </w:pPr>
      <w:r w:rsidRPr="00471CDB">
        <w:t xml:space="preserve">fit a plausible statistical distribution to the data above </w:t>
      </w:r>
      <w:r w:rsidRPr="00471CDB">
        <w:rPr>
          <w:i/>
          <w:iCs/>
        </w:rPr>
        <w:t>L</w:t>
      </w:r>
      <w:r w:rsidRPr="00471CDB">
        <w:t xml:space="preserve"> (</w:t>
      </w:r>
      <w:r>
        <w:t xml:space="preserve">eg, </w:t>
      </w:r>
      <w:r w:rsidRPr="00471CDB">
        <w:t>using a probability plot)</w:t>
      </w:r>
    </w:p>
    <w:p w14:paraId="041E3542" w14:textId="77777777" w:rsidR="003741ED" w:rsidRPr="00471CDB" w:rsidRDefault="003741ED" w:rsidP="002B1E0A">
      <w:pPr>
        <w:pStyle w:val="Bullet"/>
        <w:ind w:left="851"/>
      </w:pPr>
      <w:r w:rsidRPr="00471CDB">
        <w:t xml:space="preserve">extrapolate that distribution below </w:t>
      </w:r>
      <w:r w:rsidRPr="00471CDB">
        <w:rPr>
          <w:i/>
          <w:iCs/>
        </w:rPr>
        <w:t xml:space="preserve">L </w:t>
      </w:r>
      <w:r w:rsidRPr="00471CDB">
        <w:t xml:space="preserve">to fill-in values below </w:t>
      </w:r>
      <w:r w:rsidRPr="00471CDB">
        <w:rPr>
          <w:i/>
          <w:iCs/>
        </w:rPr>
        <w:t>L</w:t>
      </w:r>
    </w:p>
    <w:p w14:paraId="041E3543" w14:textId="77777777" w:rsidR="003741ED" w:rsidRPr="00471CDB" w:rsidRDefault="003741ED" w:rsidP="002B1E0A">
      <w:pPr>
        <w:pStyle w:val="Bullet"/>
        <w:ind w:left="851"/>
      </w:pPr>
      <w:r w:rsidRPr="00471CDB">
        <w:t>add up the concentrations.</w:t>
      </w:r>
    </w:p>
    <w:p w14:paraId="041E3544" w14:textId="77777777" w:rsidR="003741ED" w:rsidRPr="00471CDB" w:rsidRDefault="003741ED" w:rsidP="002B1E0A">
      <w:pPr>
        <w:spacing w:before="180"/>
        <w:ind w:left="567" w:hanging="567"/>
      </w:pPr>
      <w:r>
        <w:rPr>
          <w:bCs/>
        </w:rPr>
        <w:t>3</w:t>
      </w:r>
      <w:r>
        <w:rPr>
          <w:bCs/>
        </w:rPr>
        <w:tab/>
      </w:r>
      <w:r w:rsidRPr="00471CDB">
        <w:rPr>
          <w:b/>
          <w:bCs/>
        </w:rPr>
        <w:t>Mostly, or all, less-than data</w:t>
      </w:r>
      <w:r w:rsidRPr="00471CDB">
        <w:t>.</w:t>
      </w:r>
      <w:r>
        <w:rPr>
          <w:b/>
          <w:bCs/>
        </w:rPr>
        <w:t xml:space="preserve"> </w:t>
      </w:r>
      <w:r w:rsidRPr="00471CDB">
        <w:t>If there are many less-thans in a dataset neither of the above procedures can be used.</w:t>
      </w:r>
      <w:r>
        <w:t xml:space="preserve"> </w:t>
      </w:r>
      <w:r w:rsidRPr="00471CDB">
        <w:t>For example, take a set of results for ten individual chemicals: &lt;0.1, &lt;0.1, &lt;0.1, &lt;0.1, &lt;0.1, &lt;0.1, &lt;0.1, &lt;0.1, 0.8, &lt;0.1.</w:t>
      </w:r>
      <w:r>
        <w:t xml:space="preserve"> </w:t>
      </w:r>
      <w:r w:rsidRPr="00471CDB">
        <w:t>What then is the total?</w:t>
      </w:r>
      <w:r>
        <w:t xml:space="preserve"> </w:t>
      </w:r>
      <w:r w:rsidRPr="00471CDB">
        <w:t xml:space="preserve">Replacing each </w:t>
      </w:r>
      <w:r>
        <w:t>‘</w:t>
      </w:r>
      <w:r w:rsidRPr="00471CDB">
        <w:t>&lt;0.1</w:t>
      </w:r>
      <w:r>
        <w:t>’</w:t>
      </w:r>
      <w:r w:rsidRPr="00471CDB">
        <w:t xml:space="preserve"> by 0.1 is implausible (could all nine less-thans really be </w:t>
      </w:r>
      <w:r>
        <w:t>‘</w:t>
      </w:r>
      <w:r w:rsidRPr="00471CDB">
        <w:t>knocking at the door</w:t>
      </w:r>
      <w:r>
        <w:t>’</w:t>
      </w:r>
      <w:r w:rsidRPr="00471CDB">
        <w:t>?), and we should</w:t>
      </w:r>
      <w:r>
        <w:t xml:space="preserve"> </w:t>
      </w:r>
      <w:r w:rsidRPr="00471CDB">
        <w:t>n</w:t>
      </w:r>
      <w:r>
        <w:t>o</w:t>
      </w:r>
      <w:r w:rsidRPr="00471CDB">
        <w:t>t fit a distribution to just one datum.</w:t>
      </w:r>
      <w:r w:rsidRPr="002B1E0A">
        <w:rPr>
          <w:rStyle w:val="FootnoteReference"/>
        </w:rPr>
        <w:footnoteReference w:id="12"/>
      </w:r>
      <w:r>
        <w:t xml:space="preserve"> </w:t>
      </w:r>
      <w:r w:rsidRPr="00471CDB">
        <w:t>Even replacement by 0.05 seems implausible.</w:t>
      </w:r>
    </w:p>
    <w:p w14:paraId="041E3545" w14:textId="77777777" w:rsidR="003741ED" w:rsidRPr="00471CDB" w:rsidRDefault="003741ED" w:rsidP="002B1E0A"/>
    <w:p w14:paraId="041E3546" w14:textId="77777777" w:rsidR="003741ED" w:rsidRPr="00471CDB" w:rsidRDefault="003741ED" w:rsidP="002B1E0A">
      <w:r w:rsidRPr="00471CDB">
        <w:t>Taking data at face-value we could say that the range of total concentration is 0.8–1.7, where the former figure is obtained by replacing all the censored data by zeroes and the latter figure by replacing those data by the detection limits.</w:t>
      </w:r>
      <w:r>
        <w:t xml:space="preserve"> </w:t>
      </w:r>
      <w:r w:rsidRPr="00471CDB">
        <w:t>Beyond that little statistical help is available, and one must rely on plausibility arguments.</w:t>
      </w:r>
      <w:r>
        <w:t xml:space="preserve"> </w:t>
      </w:r>
      <w:r w:rsidRPr="00471CDB">
        <w:t>One should also note that it is much better practice to analyse the compounds with a method that has a lower limit of detection, reducing the number of measurements if budgets are limited.</w:t>
      </w:r>
    </w:p>
    <w:p w14:paraId="041E3547" w14:textId="77777777" w:rsidR="003741ED" w:rsidRPr="00471CDB" w:rsidRDefault="003741ED" w:rsidP="002B1E0A"/>
    <w:p w14:paraId="041E3548" w14:textId="77777777" w:rsidR="003741ED" w:rsidRDefault="003741ED" w:rsidP="002B1E0A">
      <w:pPr>
        <w:pStyle w:val="Figure-appendix"/>
      </w:pPr>
      <w:bookmarkStart w:id="282" w:name="_Toc350763016"/>
      <w:bookmarkStart w:id="283" w:name="_Toc364675923"/>
      <w:bookmarkStart w:id="284" w:name="_Toc8978929"/>
      <w:bookmarkStart w:id="285" w:name="_Toc8979363"/>
      <w:r w:rsidRPr="00A9688B">
        <w:t xml:space="preserve">Figure </w:t>
      </w:r>
      <w:r>
        <w:t>A</w:t>
      </w:r>
      <w:r w:rsidRPr="00A9688B">
        <w:t>2: Fitting a lognormal distribution to &gt;L data (where L = 5), and extrapolating back to obtain values of &lt;L data</w:t>
      </w:r>
      <w:bookmarkEnd w:id="282"/>
      <w:bookmarkEnd w:id="283"/>
      <w:bookmarkEnd w:id="284"/>
      <w:bookmarkEnd w:id="285"/>
    </w:p>
    <w:p w14:paraId="041E3549" w14:textId="77777777" w:rsidR="003741ED" w:rsidRPr="00476297" w:rsidRDefault="003741ED" w:rsidP="002B1E0A">
      <w:r>
        <w:rPr>
          <w:noProof/>
          <w:lang w:eastAsia="en-NZ"/>
        </w:rPr>
        <w:drawing>
          <wp:inline distT="0" distB="0" distL="0" distR="0" wp14:anchorId="041E35A0" wp14:editId="041E35A1">
            <wp:extent cx="5198373" cy="4422371"/>
            <wp:effectExtent l="0" t="0" r="2540" b="0"/>
            <wp:docPr id="1" name="Picture 1" descr="Figure A2: Fitting a lognormal distribution to &gt;L data (where L = 5), and extrapolating back to obtain values of &lt;L data" title="Figure A2: Fitting a lognormal distribution to &gt;L data (where L = 5), and extrapolating back to obtain values of &lt;L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A2: Fitting a lognormal distribution to &gt;L data (where L = 5), and extrapolating back to obtain values of &lt;L dat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00870" cy="4424496"/>
                    </a:xfrm>
                    <a:prstGeom prst="rect">
                      <a:avLst/>
                    </a:prstGeom>
                    <a:noFill/>
                    <a:ln>
                      <a:noFill/>
                    </a:ln>
                  </pic:spPr>
                </pic:pic>
              </a:graphicData>
            </a:graphic>
          </wp:inline>
        </w:drawing>
      </w:r>
    </w:p>
    <w:p w14:paraId="041E354A" w14:textId="77777777" w:rsidR="003741ED" w:rsidRDefault="003741ED" w:rsidP="002B1E0A"/>
    <w:p w14:paraId="041E354B" w14:textId="77777777" w:rsidR="003741ED" w:rsidRPr="00471CDB" w:rsidRDefault="003741ED" w:rsidP="002B1E0A">
      <w:r w:rsidRPr="00471CDB">
        <w:t>Each fill-in value (open circles) is selected randomly from the left tail of a lognormal distribution.</w:t>
      </w:r>
    </w:p>
    <w:p w14:paraId="041E354C" w14:textId="77777777" w:rsidR="003741ED" w:rsidRPr="004740B0" w:rsidRDefault="003741ED" w:rsidP="002B1E0A"/>
    <w:p w14:paraId="041E354D" w14:textId="77777777" w:rsidR="003741ED" w:rsidRPr="00320B23" w:rsidRDefault="003741ED" w:rsidP="002B1E0A">
      <w:pPr>
        <w:pStyle w:val="Heading2"/>
        <w:numPr>
          <w:ilvl w:val="0"/>
          <w:numId w:val="0"/>
        </w:numPr>
      </w:pPr>
      <w:bookmarkStart w:id="286" w:name="_Toc362013222"/>
      <w:bookmarkStart w:id="287" w:name="_Toc364704323"/>
      <w:bookmarkStart w:id="288" w:name="_Toc485635044"/>
      <w:bookmarkStart w:id="289" w:name="_Toc8979353"/>
      <w:r w:rsidRPr="00320B23">
        <w:t>R</w:t>
      </w:r>
      <w:r>
        <w:t>eferences</w:t>
      </w:r>
      <w:bookmarkEnd w:id="233"/>
      <w:bookmarkEnd w:id="234"/>
      <w:bookmarkEnd w:id="235"/>
      <w:bookmarkEnd w:id="236"/>
      <w:bookmarkEnd w:id="237"/>
      <w:bookmarkEnd w:id="286"/>
      <w:bookmarkEnd w:id="287"/>
      <w:bookmarkEnd w:id="288"/>
      <w:bookmarkEnd w:id="289"/>
    </w:p>
    <w:p w14:paraId="041E354E" w14:textId="77777777" w:rsidR="003741ED" w:rsidRDefault="003741ED" w:rsidP="00F727E9">
      <w:pPr>
        <w:pStyle w:val="References"/>
        <w:keepNext/>
      </w:pPr>
      <w:r>
        <w:t xml:space="preserve">Australian DoH. 2011. </w:t>
      </w:r>
      <w:r w:rsidRPr="001528E4">
        <w:rPr>
          <w:i/>
        </w:rPr>
        <w:t>Guidance on Use of Rainwater Tanks: Preventing Impacts on Aesthetic Quality</w:t>
      </w:r>
      <w:r>
        <w:t xml:space="preserve">. Department of Health. </w:t>
      </w:r>
      <w:hyperlink r:id="rId41" w:history="1">
        <w:r w:rsidRPr="004D6357">
          <w:rPr>
            <w:rStyle w:val="Hyperlink"/>
          </w:rPr>
          <w:t>http://www.health.gov.au/internet/publications/publishing.nsf/Content/ohp-enhealth-raintank-cnt-l~ohp-enhealth-raintank-cnt-l-5~ohp-enhealth-raintank-cnt-l-5.7</w:t>
        </w:r>
      </w:hyperlink>
    </w:p>
    <w:p w14:paraId="041E354F" w14:textId="77777777" w:rsidR="003741ED" w:rsidRPr="008F3EF8" w:rsidRDefault="003741ED" w:rsidP="00F727E9">
      <w:pPr>
        <w:pStyle w:val="References"/>
        <w:keepNext/>
      </w:pPr>
      <w:r w:rsidRPr="008F3EF8">
        <w:t>Ball A</w:t>
      </w:r>
      <w:r>
        <w:t>.</w:t>
      </w:r>
      <w:r w:rsidRPr="008F3EF8">
        <w:t xml:space="preserve"> </w:t>
      </w:r>
      <w:r>
        <w:t xml:space="preserve">2007. </w:t>
      </w:r>
      <w:r w:rsidRPr="00812F03">
        <w:rPr>
          <w:i/>
        </w:rPr>
        <w:t>Estimation of the Burden of Waterborne Disease in New Zealand: Preliminary report</w:t>
      </w:r>
      <w:r>
        <w:t>.</w:t>
      </w:r>
      <w:r w:rsidRPr="008F3EF8">
        <w:t xml:space="preserve"> </w:t>
      </w:r>
      <w:r>
        <w:t xml:space="preserve">Christchurch: </w:t>
      </w:r>
      <w:r w:rsidRPr="008F3EF8">
        <w:t>ESR.</w:t>
      </w:r>
    </w:p>
    <w:p w14:paraId="041E3550" w14:textId="77777777" w:rsidR="003741ED" w:rsidRPr="008F3EF8" w:rsidRDefault="003741ED" w:rsidP="00F727E9">
      <w:pPr>
        <w:pStyle w:val="References"/>
        <w:keepNext/>
      </w:pPr>
      <w:r w:rsidRPr="008F3EF8">
        <w:t>Baker M, Russell</w:t>
      </w:r>
      <w:r>
        <w:t xml:space="preserve"> N</w:t>
      </w:r>
      <w:r w:rsidRPr="008F3EF8">
        <w:t>, Roseveare</w:t>
      </w:r>
      <w:r>
        <w:t xml:space="preserve"> C</w:t>
      </w:r>
      <w:r w:rsidRPr="008F3EF8">
        <w:t xml:space="preserve">, </w:t>
      </w:r>
      <w:r w:rsidR="004A00B0">
        <w:t>et al</w:t>
      </w:r>
      <w:r>
        <w:t>.</w:t>
      </w:r>
      <w:r w:rsidRPr="008F3EF8">
        <w:t xml:space="preserve"> 1998.</w:t>
      </w:r>
      <w:r>
        <w:t xml:space="preserve"> </w:t>
      </w:r>
      <w:r w:rsidRPr="008F3EF8">
        <w:t>Outbreak of cryptosporidiosis linked to Hutt Valley swimming pool.</w:t>
      </w:r>
      <w:r>
        <w:t xml:space="preserve"> </w:t>
      </w:r>
      <w:r w:rsidRPr="00812F03">
        <w:rPr>
          <w:i/>
        </w:rPr>
        <w:t>The New Zealand Public Health Report</w:t>
      </w:r>
      <w:r w:rsidRPr="008F3EF8">
        <w:t xml:space="preserve"> </w:t>
      </w:r>
      <w:r w:rsidRPr="00812F03">
        <w:t>5</w:t>
      </w:r>
      <w:r w:rsidRPr="008F3EF8">
        <w:t>(6)</w:t>
      </w:r>
      <w:r>
        <w:t>:</w:t>
      </w:r>
      <w:r w:rsidRPr="008F3EF8">
        <w:t xml:space="preserve"> 41–5.</w:t>
      </w:r>
    </w:p>
    <w:p w14:paraId="041E3551" w14:textId="77777777" w:rsidR="003741ED" w:rsidRPr="008F3EF8" w:rsidRDefault="003741ED" w:rsidP="00F727E9">
      <w:pPr>
        <w:pStyle w:val="References"/>
        <w:keepNext/>
      </w:pPr>
      <w:r w:rsidRPr="008F3EF8">
        <w:t>Bartram J.</w:t>
      </w:r>
      <w:r>
        <w:t xml:space="preserve"> </w:t>
      </w:r>
      <w:r w:rsidRPr="008F3EF8">
        <w:t>2003.</w:t>
      </w:r>
      <w:r>
        <w:t xml:space="preserve"> </w:t>
      </w:r>
      <w:r w:rsidRPr="008F3EF8">
        <w:t>Investigation of sporadic waterborne disease.</w:t>
      </w:r>
      <w:r>
        <w:t xml:space="preserve"> </w:t>
      </w:r>
      <w:r w:rsidRPr="008F3EF8">
        <w:t xml:space="preserve">Preface to </w:t>
      </w:r>
      <w:r>
        <w:t>s</w:t>
      </w:r>
      <w:r w:rsidRPr="008F3EF8">
        <w:t>ection 3 (on Investigation of Sporadic Waterborne Disease) in PR Hunter, M Waite</w:t>
      </w:r>
      <w:r>
        <w:t>,</w:t>
      </w:r>
      <w:r w:rsidRPr="008F3EF8">
        <w:t xml:space="preserve"> E Ronchi</w:t>
      </w:r>
      <w:r>
        <w:t xml:space="preserve">. </w:t>
      </w:r>
      <w:r w:rsidRPr="008F3EF8">
        <w:t>2003.</w:t>
      </w:r>
      <w:r>
        <w:t xml:space="preserve"> </w:t>
      </w:r>
      <w:r w:rsidRPr="004E2F49">
        <w:rPr>
          <w:i/>
        </w:rPr>
        <w:t>Drinking Water and Infectious Disease</w:t>
      </w:r>
      <w:r w:rsidRPr="008F3EF8">
        <w:t>.</w:t>
      </w:r>
      <w:r>
        <w:t xml:space="preserve"> </w:t>
      </w:r>
      <w:r w:rsidRPr="008F3EF8">
        <w:t>Boca Raton, LA</w:t>
      </w:r>
      <w:r>
        <w:t xml:space="preserve">: </w:t>
      </w:r>
      <w:r w:rsidRPr="008F3EF8">
        <w:t>CRC Press and IWA Publishing.</w:t>
      </w:r>
    </w:p>
    <w:p w14:paraId="041E3552" w14:textId="77777777" w:rsidR="003741ED" w:rsidRPr="008F3EF8" w:rsidRDefault="003741ED" w:rsidP="001528E4">
      <w:pPr>
        <w:pStyle w:val="References"/>
      </w:pPr>
      <w:r w:rsidRPr="008F3EF8">
        <w:t>Beca</w:t>
      </w:r>
      <w:r>
        <w:t>.</w:t>
      </w:r>
      <w:r w:rsidRPr="008F3EF8">
        <w:t xml:space="preserve"> 2001</w:t>
      </w:r>
      <w:r>
        <w:t xml:space="preserve">. </w:t>
      </w:r>
      <w:r w:rsidRPr="00812F03">
        <w:rPr>
          <w:i/>
        </w:rPr>
        <w:t xml:space="preserve">Drinking </w:t>
      </w:r>
      <w:r>
        <w:rPr>
          <w:i/>
        </w:rPr>
        <w:t>W</w:t>
      </w:r>
      <w:r w:rsidRPr="00812F03">
        <w:rPr>
          <w:i/>
        </w:rPr>
        <w:t xml:space="preserve">ater </w:t>
      </w:r>
      <w:r>
        <w:rPr>
          <w:i/>
        </w:rPr>
        <w:t>C</w:t>
      </w:r>
      <w:r w:rsidRPr="00812F03">
        <w:rPr>
          <w:i/>
        </w:rPr>
        <w:t xml:space="preserve">ompliance </w:t>
      </w:r>
      <w:r>
        <w:rPr>
          <w:i/>
        </w:rPr>
        <w:t>A</w:t>
      </w:r>
      <w:r w:rsidRPr="00812F03">
        <w:rPr>
          <w:i/>
        </w:rPr>
        <w:t>ssessment</w:t>
      </w:r>
      <w:r>
        <w:t>. A report prepared (in March) for the Ministry of Health by Beca Steven in association with BERL.</w:t>
      </w:r>
    </w:p>
    <w:p w14:paraId="041E3553" w14:textId="77777777" w:rsidR="003741ED" w:rsidRDefault="003741ED" w:rsidP="001528E4">
      <w:pPr>
        <w:pStyle w:val="References"/>
      </w:pPr>
      <w:r w:rsidRPr="008F3EF8">
        <w:t>Brieseman MA. 1987.</w:t>
      </w:r>
      <w:r>
        <w:t xml:space="preserve"> </w:t>
      </w:r>
      <w:r w:rsidRPr="008F3EF8">
        <w:t xml:space="preserve">Town water supply as the cause of an outbreak of </w:t>
      </w:r>
      <w:r w:rsidRPr="004E2F49">
        <w:rPr>
          <w:i/>
        </w:rPr>
        <w:t>Campylobacter</w:t>
      </w:r>
      <w:r w:rsidRPr="008F3EF8">
        <w:t xml:space="preserve"> infection.</w:t>
      </w:r>
      <w:r>
        <w:t xml:space="preserve"> </w:t>
      </w:r>
      <w:r w:rsidRPr="00812F03">
        <w:rPr>
          <w:i/>
        </w:rPr>
        <w:t>New Zealand Medical Journal</w:t>
      </w:r>
      <w:r w:rsidRPr="008F3EF8">
        <w:t xml:space="preserve"> </w:t>
      </w:r>
      <w:r w:rsidRPr="00812F03">
        <w:t>100</w:t>
      </w:r>
      <w:r>
        <w:t>:</w:t>
      </w:r>
      <w:r w:rsidRPr="008F3EF8">
        <w:t xml:space="preserve"> 212–</w:t>
      </w:r>
      <w:r>
        <w:t>1</w:t>
      </w:r>
      <w:r w:rsidRPr="008F3EF8">
        <w:t>3.</w:t>
      </w:r>
    </w:p>
    <w:p w14:paraId="041E3554" w14:textId="77777777" w:rsidR="003741ED" w:rsidRPr="008F3EF8" w:rsidRDefault="003741ED" w:rsidP="001528E4">
      <w:pPr>
        <w:pStyle w:val="References"/>
      </w:pPr>
      <w:r>
        <w:t xml:space="preserve">CH2M Beca. 2010. </w:t>
      </w:r>
      <w:r w:rsidRPr="00812F03">
        <w:rPr>
          <w:i/>
        </w:rPr>
        <w:t>Drinking Water Standards New Zealand Cost Benefit Analysis – Engineering Input</w:t>
      </w:r>
      <w:r w:rsidRPr="00A66870">
        <w:t>.</w:t>
      </w:r>
      <w:r>
        <w:t xml:space="preserve"> </w:t>
      </w:r>
      <w:r w:rsidRPr="00A66870">
        <w:t>103 pp.</w:t>
      </w:r>
      <w:r>
        <w:t xml:space="preserve"> </w:t>
      </w:r>
      <w:hyperlink r:id="rId42" w:history="1">
        <w:r w:rsidRPr="00A66870">
          <w:rPr>
            <w:rStyle w:val="Hyperlink"/>
          </w:rPr>
          <w:t>http://www.health.govt.nz/publication/drinking-water-cost-benefit-analysis</w:t>
        </w:r>
      </w:hyperlink>
    </w:p>
    <w:p w14:paraId="041E3555" w14:textId="77777777" w:rsidR="003741ED" w:rsidRPr="004E2F49" w:rsidRDefault="003741ED" w:rsidP="001528E4">
      <w:pPr>
        <w:pStyle w:val="References"/>
      </w:pPr>
      <w:r w:rsidRPr="008F3EF8">
        <w:t xml:space="preserve">Craun G, Till </w:t>
      </w:r>
      <w:r>
        <w:t xml:space="preserve">DG, </w:t>
      </w:r>
      <w:r w:rsidRPr="008F3EF8">
        <w:t xml:space="preserve">McBride </w:t>
      </w:r>
      <w:r>
        <w:t xml:space="preserve">GB. </w:t>
      </w:r>
      <w:r w:rsidRPr="008F3EF8">
        <w:t>2004.</w:t>
      </w:r>
      <w:r>
        <w:t xml:space="preserve"> </w:t>
      </w:r>
      <w:r w:rsidRPr="008F3EF8">
        <w:t>Epidemiological studies and surveillance.</w:t>
      </w:r>
      <w:r>
        <w:t xml:space="preserve"> </w:t>
      </w:r>
      <w:r w:rsidRPr="008F3EF8">
        <w:t>Chapter</w:t>
      </w:r>
      <w:r w:rsidR="001528E4">
        <w:t> </w:t>
      </w:r>
      <w:r w:rsidRPr="008F3EF8">
        <w:t xml:space="preserve">10 in: </w:t>
      </w:r>
      <w:r>
        <w:t>JA </w:t>
      </w:r>
      <w:r w:rsidRPr="008F3EF8">
        <w:t xml:space="preserve">Cotruvo, A Dufour, G Rees, </w:t>
      </w:r>
      <w:r w:rsidR="004A00B0">
        <w:t>et al</w:t>
      </w:r>
      <w:r>
        <w:t xml:space="preserve">. </w:t>
      </w:r>
      <w:r w:rsidRPr="004E2F49">
        <w:rPr>
          <w:i/>
        </w:rPr>
        <w:t>Waterborne Zoonoses: Identification, Causes and Control</w:t>
      </w:r>
      <w:r>
        <w:t>.</w:t>
      </w:r>
      <w:r w:rsidRPr="008F3EF8">
        <w:t xml:space="preserve"> </w:t>
      </w:r>
      <w:r>
        <w:t xml:space="preserve">London: </w:t>
      </w:r>
      <w:r w:rsidRPr="008F3EF8">
        <w:t xml:space="preserve">IWA </w:t>
      </w:r>
      <w:r>
        <w:t>P</w:t>
      </w:r>
      <w:r w:rsidRPr="008F3EF8">
        <w:t>ublishing, for the World Health Organization.</w:t>
      </w:r>
      <w:r>
        <w:t xml:space="preserve"> Available at: </w:t>
      </w:r>
      <w:hyperlink r:id="rId43" w:history="1">
        <w:r w:rsidRPr="003C58BD">
          <w:rPr>
            <w:rStyle w:val="Hyperlink"/>
          </w:rPr>
          <w:t>http://www.who.int/water_sanitation_health/diseases/zoonoses/en/</w:t>
        </w:r>
      </w:hyperlink>
    </w:p>
    <w:p w14:paraId="041E3556" w14:textId="77777777" w:rsidR="003741ED" w:rsidRPr="008F3EF8" w:rsidRDefault="003741ED" w:rsidP="001528E4">
      <w:pPr>
        <w:pStyle w:val="References"/>
      </w:pPr>
      <w:r w:rsidRPr="008F3EF8">
        <w:t>Duncanson M, Russell</w:t>
      </w:r>
      <w:r>
        <w:t xml:space="preserve"> N</w:t>
      </w:r>
      <w:r w:rsidRPr="008F3EF8">
        <w:t>, Weinstein</w:t>
      </w:r>
      <w:r>
        <w:t xml:space="preserve"> P</w:t>
      </w:r>
      <w:r w:rsidRPr="008F3EF8">
        <w:t xml:space="preserve">, </w:t>
      </w:r>
      <w:r w:rsidR="004A00B0">
        <w:t>et al</w:t>
      </w:r>
      <w:r>
        <w:t xml:space="preserve">. </w:t>
      </w:r>
      <w:r w:rsidRPr="008F3EF8">
        <w:t>2000.</w:t>
      </w:r>
      <w:r>
        <w:t xml:space="preserve"> </w:t>
      </w:r>
      <w:r w:rsidRPr="008F3EF8">
        <w:t>Rates of notified cryptosporidiosis and quality of drinking water supplies in Aotearoa, New Zealand.</w:t>
      </w:r>
      <w:r>
        <w:t xml:space="preserve"> </w:t>
      </w:r>
      <w:r w:rsidRPr="00812F03">
        <w:rPr>
          <w:i/>
        </w:rPr>
        <w:t>Water Research</w:t>
      </w:r>
      <w:r w:rsidRPr="008F3EF8">
        <w:t xml:space="preserve"> </w:t>
      </w:r>
      <w:r w:rsidRPr="00812F03">
        <w:t>14</w:t>
      </w:r>
      <w:r w:rsidRPr="008F3EF8">
        <w:t>(15)</w:t>
      </w:r>
      <w:r>
        <w:t>:</w:t>
      </w:r>
      <w:r w:rsidRPr="008F3EF8">
        <w:t xml:space="preserve"> 3804–12.</w:t>
      </w:r>
    </w:p>
    <w:p w14:paraId="041E3557" w14:textId="77777777" w:rsidR="003741ED" w:rsidRPr="00942BB3" w:rsidRDefault="00740533" w:rsidP="001528E4">
      <w:pPr>
        <w:pStyle w:val="References"/>
      </w:pPr>
      <w:hyperlink r:id="rId44" w:history="1">
        <w:r w:rsidR="003741ED" w:rsidRPr="00942BB3">
          <w:t>Dupont DP</w:t>
        </w:r>
      </w:hyperlink>
      <w:r w:rsidR="003741ED">
        <w:t>,</w:t>
      </w:r>
      <w:r w:rsidR="003741ED" w:rsidRPr="00942BB3">
        <w:t xml:space="preserve"> Jahan </w:t>
      </w:r>
      <w:r w:rsidR="003741ED">
        <w:t xml:space="preserve">N. </w:t>
      </w:r>
      <w:r w:rsidR="003741ED" w:rsidRPr="00942BB3">
        <w:t>2012.</w:t>
      </w:r>
      <w:r w:rsidR="003741ED">
        <w:t xml:space="preserve"> </w:t>
      </w:r>
      <w:r w:rsidR="003741ED" w:rsidRPr="00942BB3">
        <w:t>Defensive spending on tap water substitutes: the value of reducing perceived health risks.</w:t>
      </w:r>
      <w:r w:rsidR="003741ED">
        <w:t xml:space="preserve"> </w:t>
      </w:r>
      <w:r w:rsidR="003741ED" w:rsidRPr="00812F03">
        <w:rPr>
          <w:i/>
        </w:rPr>
        <w:t>J Water and Health</w:t>
      </w:r>
      <w:r w:rsidR="003741ED" w:rsidRPr="00942BB3">
        <w:t xml:space="preserve"> </w:t>
      </w:r>
      <w:r w:rsidR="003741ED" w:rsidRPr="00812F03">
        <w:t>10</w:t>
      </w:r>
      <w:r w:rsidR="003741ED" w:rsidRPr="00942BB3">
        <w:t>(1)</w:t>
      </w:r>
      <w:r w:rsidR="003741ED">
        <w:t>:</w:t>
      </w:r>
      <w:r w:rsidR="003741ED" w:rsidRPr="00942BB3">
        <w:t xml:space="preserve"> 56</w:t>
      </w:r>
      <w:r w:rsidR="003741ED">
        <w:t>–</w:t>
      </w:r>
      <w:r w:rsidR="003741ED" w:rsidRPr="00942BB3">
        <w:t>68.</w:t>
      </w:r>
    </w:p>
    <w:p w14:paraId="041E3558" w14:textId="77777777" w:rsidR="003741ED" w:rsidRPr="008F3EF8" w:rsidRDefault="003741ED" w:rsidP="001528E4">
      <w:pPr>
        <w:pStyle w:val="References"/>
      </w:pPr>
      <w:r w:rsidRPr="008F3EF8">
        <w:t>Eberhardt-Phillips J, Walker</w:t>
      </w:r>
      <w:r>
        <w:t xml:space="preserve"> N</w:t>
      </w:r>
      <w:r w:rsidRPr="008F3EF8">
        <w:t>, Garrett</w:t>
      </w:r>
      <w:r>
        <w:t xml:space="preserve"> N</w:t>
      </w:r>
      <w:r w:rsidRPr="008F3EF8">
        <w:t xml:space="preserve">, </w:t>
      </w:r>
      <w:r w:rsidR="004A00B0">
        <w:t>et al</w:t>
      </w:r>
      <w:r>
        <w:t>.</w:t>
      </w:r>
      <w:r w:rsidRPr="008F3EF8">
        <w:t xml:space="preserve"> 1997.</w:t>
      </w:r>
      <w:r>
        <w:t xml:space="preserve"> </w:t>
      </w:r>
      <w:r w:rsidRPr="008F3EF8">
        <w:t>Campylobacteriosis in New Zealand: results of a case-control study.</w:t>
      </w:r>
      <w:r>
        <w:t xml:space="preserve"> </w:t>
      </w:r>
      <w:r w:rsidRPr="00812F03">
        <w:rPr>
          <w:i/>
        </w:rPr>
        <w:t>Journal of Epidemiology and Community Health</w:t>
      </w:r>
      <w:r w:rsidRPr="008F3EF8">
        <w:t xml:space="preserve"> </w:t>
      </w:r>
      <w:r w:rsidRPr="00812F03">
        <w:t>51</w:t>
      </w:r>
      <w:r>
        <w:t>:</w:t>
      </w:r>
      <w:r w:rsidRPr="008F3EF8">
        <w:t xml:space="preserve"> 686–91.</w:t>
      </w:r>
    </w:p>
    <w:p w14:paraId="041E3559" w14:textId="77777777" w:rsidR="003741ED" w:rsidRPr="00471CDB" w:rsidRDefault="003741ED" w:rsidP="001528E4">
      <w:pPr>
        <w:pStyle w:val="References"/>
      </w:pPr>
      <w:r w:rsidRPr="00471CDB">
        <w:t>Ellis JC. 1989.</w:t>
      </w:r>
      <w:r>
        <w:t xml:space="preserve"> </w:t>
      </w:r>
      <w:r w:rsidRPr="00C1279C">
        <w:rPr>
          <w:i/>
        </w:rPr>
        <w:t>Handbook on the Design and Interpretation of Monitoring Programmes</w:t>
      </w:r>
      <w:r w:rsidRPr="00471CDB">
        <w:t>.</w:t>
      </w:r>
      <w:r>
        <w:t xml:space="preserve"> </w:t>
      </w:r>
      <w:r w:rsidRPr="00471CDB">
        <w:t xml:space="preserve">Water Research Centre Report </w:t>
      </w:r>
      <w:r w:rsidRPr="00EA4ADC">
        <w:rPr>
          <w:bCs/>
        </w:rPr>
        <w:t>NS29</w:t>
      </w:r>
      <w:r w:rsidRPr="00471CDB">
        <w:t>.</w:t>
      </w:r>
      <w:r>
        <w:t xml:space="preserve"> England: </w:t>
      </w:r>
      <w:r w:rsidRPr="00471CDB">
        <w:t>Medmenham.</w:t>
      </w:r>
    </w:p>
    <w:p w14:paraId="041E355A" w14:textId="77777777" w:rsidR="003741ED" w:rsidRPr="008F3EF8" w:rsidRDefault="003741ED" w:rsidP="001528E4">
      <w:pPr>
        <w:pStyle w:val="References"/>
      </w:pPr>
      <w:r w:rsidRPr="004E2F49">
        <w:t>ESR.</w:t>
      </w:r>
      <w:r>
        <w:t xml:space="preserve"> </w:t>
      </w:r>
      <w:r w:rsidRPr="00812F03">
        <w:rPr>
          <w:i/>
        </w:rPr>
        <w:t xml:space="preserve">Annual </w:t>
      </w:r>
      <w:r>
        <w:rPr>
          <w:i/>
        </w:rPr>
        <w:t>S</w:t>
      </w:r>
      <w:r w:rsidRPr="00812F03">
        <w:rPr>
          <w:i/>
        </w:rPr>
        <w:t xml:space="preserve">ummary of </w:t>
      </w:r>
      <w:r>
        <w:rPr>
          <w:i/>
        </w:rPr>
        <w:t>O</w:t>
      </w:r>
      <w:r w:rsidRPr="00812F03">
        <w:rPr>
          <w:i/>
        </w:rPr>
        <w:t>utbreaks in New Zealand</w:t>
      </w:r>
      <w:r>
        <w:t>.</w:t>
      </w:r>
      <w:r w:rsidRPr="004E2F49">
        <w:t xml:space="preserve"> </w:t>
      </w:r>
      <w:r>
        <w:t xml:space="preserve">Wellington: </w:t>
      </w:r>
      <w:r w:rsidRPr="004E2F49">
        <w:t>ESR</w:t>
      </w:r>
      <w:r>
        <w:t xml:space="preserve">. See </w:t>
      </w:r>
      <w:hyperlink r:id="rId45" w:history="1">
        <w:r w:rsidRPr="00563434">
          <w:rPr>
            <w:rStyle w:val="Hyperlink"/>
          </w:rPr>
          <w:t>www.surv.esr.cri.nz</w:t>
        </w:r>
      </w:hyperlink>
      <w:r>
        <w:t xml:space="preserve"> then select surveillance reports, annual surveillance summary for the year desired, and then selected tables.</w:t>
      </w:r>
    </w:p>
    <w:p w14:paraId="041E355B" w14:textId="77777777" w:rsidR="003741ED" w:rsidRPr="008F3EF8" w:rsidRDefault="003741ED" w:rsidP="001528E4">
      <w:pPr>
        <w:pStyle w:val="References"/>
      </w:pPr>
      <w:r w:rsidRPr="008F3EF8">
        <w:t>Fraser G</w:t>
      </w:r>
      <w:r>
        <w:t>,</w:t>
      </w:r>
      <w:r w:rsidRPr="008F3EF8">
        <w:t xml:space="preserve"> Cooke</w:t>
      </w:r>
      <w:r>
        <w:t xml:space="preserve"> KR.</w:t>
      </w:r>
      <w:r w:rsidRPr="008F3EF8">
        <w:t xml:space="preserve"> 1991.</w:t>
      </w:r>
      <w:r>
        <w:t xml:space="preserve"> </w:t>
      </w:r>
      <w:r w:rsidRPr="008F3EF8">
        <w:t>Endemic giardiasis and municipal water supply.</w:t>
      </w:r>
      <w:r>
        <w:t xml:space="preserve"> </w:t>
      </w:r>
      <w:r w:rsidRPr="00812F03">
        <w:rPr>
          <w:i/>
        </w:rPr>
        <w:t>American Journal of Public Health</w:t>
      </w:r>
      <w:r w:rsidRPr="008F3EF8">
        <w:t xml:space="preserve"> </w:t>
      </w:r>
      <w:r w:rsidRPr="00812F03">
        <w:t>81</w:t>
      </w:r>
      <w:r w:rsidRPr="008F3EF8">
        <w:t>(6)</w:t>
      </w:r>
      <w:r>
        <w:t>:</w:t>
      </w:r>
      <w:r w:rsidRPr="008F3EF8">
        <w:t xml:space="preserve"> 760–2.</w:t>
      </w:r>
    </w:p>
    <w:p w14:paraId="041E355C" w14:textId="77777777" w:rsidR="003741ED" w:rsidRPr="008F3EF8" w:rsidRDefault="003741ED" w:rsidP="001528E4">
      <w:pPr>
        <w:pStyle w:val="References"/>
      </w:pPr>
      <w:r w:rsidRPr="008F3EF8">
        <w:t xml:space="preserve">Frost F, Calderon </w:t>
      </w:r>
      <w:r>
        <w:t xml:space="preserve">RL, </w:t>
      </w:r>
      <w:r w:rsidRPr="008F3EF8">
        <w:t xml:space="preserve">Craun </w:t>
      </w:r>
      <w:r>
        <w:t xml:space="preserve">GF. </w:t>
      </w:r>
      <w:r w:rsidRPr="008F3EF8">
        <w:t>2003.</w:t>
      </w:r>
      <w:r>
        <w:t xml:space="preserve"> </w:t>
      </w:r>
      <w:r w:rsidRPr="008F3EF8">
        <w:t>Improving waterborne disease surveillance.</w:t>
      </w:r>
      <w:r>
        <w:t xml:space="preserve"> </w:t>
      </w:r>
      <w:r w:rsidRPr="008F3EF8">
        <w:t xml:space="preserve">Chapter 2 in </w:t>
      </w:r>
      <w:r>
        <w:t xml:space="preserve">FW Pontius (ed) </w:t>
      </w:r>
      <w:r w:rsidRPr="004E2F49">
        <w:rPr>
          <w:i/>
        </w:rPr>
        <w:t>Drinking Water Regulation and Health</w:t>
      </w:r>
      <w:r w:rsidRPr="008F3EF8">
        <w:t>.</w:t>
      </w:r>
      <w:r>
        <w:t xml:space="preserve"> </w:t>
      </w:r>
      <w:r w:rsidRPr="008F3EF8">
        <w:t>New York, NY</w:t>
      </w:r>
      <w:r>
        <w:t xml:space="preserve">: </w:t>
      </w:r>
      <w:r w:rsidRPr="008F3EF8">
        <w:t>Wiley-Interscience.</w:t>
      </w:r>
    </w:p>
    <w:p w14:paraId="041E355D" w14:textId="77777777" w:rsidR="003741ED" w:rsidRPr="008F3EF8" w:rsidRDefault="003741ED" w:rsidP="001528E4">
      <w:pPr>
        <w:pStyle w:val="References"/>
      </w:pPr>
      <w:r w:rsidRPr="008F3EF8">
        <w:t xml:space="preserve">Harrington W, Krupnick </w:t>
      </w:r>
      <w:r>
        <w:t xml:space="preserve">A, </w:t>
      </w:r>
      <w:r w:rsidRPr="008F3EF8">
        <w:t xml:space="preserve">Spofford </w:t>
      </w:r>
      <w:r>
        <w:t xml:space="preserve">W. </w:t>
      </w:r>
      <w:r w:rsidRPr="008F3EF8">
        <w:t>1985.</w:t>
      </w:r>
      <w:r>
        <w:t xml:space="preserve"> </w:t>
      </w:r>
      <w:r w:rsidRPr="008F3EF8">
        <w:t>The benefits of preventing an outbreak of giardiasis due to drinking water contamination.</w:t>
      </w:r>
      <w:r>
        <w:t xml:space="preserve"> </w:t>
      </w:r>
      <w:r w:rsidRPr="00ED13C3">
        <w:rPr>
          <w:i/>
        </w:rPr>
        <w:t>Resources for the Future Report</w:t>
      </w:r>
      <w:r w:rsidRPr="008F3EF8">
        <w:t>.</w:t>
      </w:r>
      <w:r>
        <w:t xml:space="preserve"> Washington: US Environmental Protection Agency, National Center for Environmental Economics.</w:t>
      </w:r>
    </w:p>
    <w:p w14:paraId="041E355E" w14:textId="77777777" w:rsidR="003741ED" w:rsidRPr="00471CDB" w:rsidRDefault="003741ED" w:rsidP="001528E4">
      <w:pPr>
        <w:pStyle w:val="References"/>
      </w:pPr>
      <w:r w:rsidRPr="00471CDB">
        <w:t>Helsel DR</w:t>
      </w:r>
      <w:r>
        <w:t>,</w:t>
      </w:r>
      <w:r w:rsidRPr="00471CDB">
        <w:t xml:space="preserve"> Hirsch </w:t>
      </w:r>
      <w:r>
        <w:t xml:space="preserve">RM. </w:t>
      </w:r>
      <w:r w:rsidRPr="00471CDB">
        <w:t>1992.</w:t>
      </w:r>
      <w:r>
        <w:t xml:space="preserve"> </w:t>
      </w:r>
      <w:r w:rsidRPr="00EA4ADC">
        <w:rPr>
          <w:i/>
          <w:iCs/>
        </w:rPr>
        <w:t>Statistical Methods in Water Resources</w:t>
      </w:r>
      <w:r w:rsidRPr="00EA4ADC">
        <w:rPr>
          <w:i/>
        </w:rPr>
        <w:t>. Studies in Environmental Science</w:t>
      </w:r>
      <w:r w:rsidRPr="00471CDB">
        <w:t xml:space="preserve"> </w:t>
      </w:r>
      <w:r w:rsidRPr="00EA4ADC">
        <w:rPr>
          <w:bCs/>
        </w:rPr>
        <w:t>49</w:t>
      </w:r>
      <w:r w:rsidRPr="00471CDB">
        <w:t>.</w:t>
      </w:r>
      <w:r>
        <w:t xml:space="preserve"> Amsterdam: </w:t>
      </w:r>
      <w:r w:rsidRPr="00471CDB">
        <w:t>Elsevier.</w:t>
      </w:r>
      <w:r>
        <w:t xml:space="preserve"> </w:t>
      </w:r>
      <w:r w:rsidRPr="00471CDB">
        <w:t>Chapter 13.</w:t>
      </w:r>
    </w:p>
    <w:p w14:paraId="041E355F" w14:textId="77777777" w:rsidR="003741ED" w:rsidRPr="00471CDB" w:rsidRDefault="003741ED" w:rsidP="001528E4">
      <w:pPr>
        <w:pStyle w:val="References"/>
      </w:pPr>
      <w:r w:rsidRPr="00471CDB">
        <w:t>Helsel DR. 2005.</w:t>
      </w:r>
      <w:r>
        <w:t xml:space="preserve"> </w:t>
      </w:r>
      <w:r w:rsidRPr="00471CDB">
        <w:rPr>
          <w:i/>
          <w:iCs/>
        </w:rPr>
        <w:t>Nondetects and Data Analysis: Statistics for censored environmental data</w:t>
      </w:r>
      <w:r w:rsidRPr="00471CDB">
        <w:t xml:space="preserve">. </w:t>
      </w:r>
      <w:r>
        <w:t xml:space="preserve">New York: </w:t>
      </w:r>
      <w:r w:rsidRPr="00471CDB">
        <w:t>Wiley.</w:t>
      </w:r>
    </w:p>
    <w:p w14:paraId="041E3560" w14:textId="77777777" w:rsidR="003741ED" w:rsidRPr="008F3EF8" w:rsidRDefault="003741ED" w:rsidP="001528E4">
      <w:pPr>
        <w:pStyle w:val="References"/>
      </w:pPr>
      <w:r w:rsidRPr="008F3EF8">
        <w:t>Hrudey SE</w:t>
      </w:r>
      <w:r>
        <w:t>,</w:t>
      </w:r>
      <w:r w:rsidRPr="008F3EF8">
        <w:t xml:space="preserve"> Hrudey </w:t>
      </w:r>
      <w:r>
        <w:t xml:space="preserve">E. </w:t>
      </w:r>
      <w:r w:rsidRPr="008F3EF8">
        <w:t>2004.</w:t>
      </w:r>
      <w:r>
        <w:t xml:space="preserve"> </w:t>
      </w:r>
      <w:r w:rsidRPr="004E2F49">
        <w:rPr>
          <w:i/>
        </w:rPr>
        <w:t>Safe Drinking Water: Lessons from Recent Outbreaks in Affluent Nations</w:t>
      </w:r>
      <w:r w:rsidRPr="008F3EF8">
        <w:t>.</w:t>
      </w:r>
      <w:r>
        <w:t xml:space="preserve"> London: </w:t>
      </w:r>
      <w:r w:rsidRPr="008F3EF8">
        <w:t>IWA Publishing.</w:t>
      </w:r>
    </w:p>
    <w:p w14:paraId="041E3561" w14:textId="77777777" w:rsidR="003741ED" w:rsidRPr="008F3EF8" w:rsidRDefault="003741ED" w:rsidP="001528E4">
      <w:pPr>
        <w:pStyle w:val="References"/>
      </w:pPr>
      <w:r w:rsidRPr="008F3EF8">
        <w:t>Hrudey SE</w:t>
      </w:r>
      <w:r>
        <w:t xml:space="preserve">. 2017. </w:t>
      </w:r>
      <w:r w:rsidRPr="001528E4">
        <w:rPr>
          <w:i/>
        </w:rPr>
        <w:t xml:space="preserve">Converting Hindsight into Foresight. Evidence </w:t>
      </w:r>
      <w:r w:rsidR="001528E4">
        <w:rPr>
          <w:i/>
        </w:rPr>
        <w:t>p</w:t>
      </w:r>
      <w:r w:rsidRPr="001528E4">
        <w:rPr>
          <w:i/>
        </w:rPr>
        <w:t>repared for Water New Zealand for submission to Government Inquiry into North Havelock Drinking-Water</w:t>
      </w:r>
      <w:r w:rsidRPr="00B22B64">
        <w:t>. 60</w:t>
      </w:r>
      <w:r w:rsidR="001528E4">
        <w:t> </w:t>
      </w:r>
      <w:r w:rsidRPr="00B22B64">
        <w:t xml:space="preserve">pp. </w:t>
      </w:r>
      <w:hyperlink r:id="rId46" w:history="1">
        <w:r w:rsidRPr="00B22B64">
          <w:rPr>
            <w:rStyle w:val="Hyperlink"/>
          </w:rPr>
          <w:t>https://www.dia.govt.nz/diawebsite.nsf/Files/Havelock-North-Submissions/$file/Havelock-Submissions-Hrudey-Mar-31.pdf</w:t>
        </w:r>
      </w:hyperlink>
    </w:p>
    <w:p w14:paraId="041E3562" w14:textId="77777777" w:rsidR="003741ED" w:rsidRPr="008F3EF8" w:rsidRDefault="003741ED" w:rsidP="001528E4">
      <w:pPr>
        <w:pStyle w:val="References"/>
      </w:pPr>
      <w:r w:rsidRPr="008F3EF8">
        <w:t xml:space="preserve">Hunter P, Waite </w:t>
      </w:r>
      <w:r>
        <w:t xml:space="preserve">M, </w:t>
      </w:r>
      <w:r w:rsidRPr="008F3EF8">
        <w:t xml:space="preserve">Ronchi </w:t>
      </w:r>
      <w:r>
        <w:t xml:space="preserve">E. </w:t>
      </w:r>
      <w:r w:rsidRPr="008F3EF8">
        <w:t>2003.</w:t>
      </w:r>
      <w:r>
        <w:t xml:space="preserve"> </w:t>
      </w:r>
      <w:r w:rsidRPr="004E2F49">
        <w:rPr>
          <w:i/>
        </w:rPr>
        <w:t>Drinking Water and Infectious Disease: Establishing the Links</w:t>
      </w:r>
      <w:r w:rsidRPr="008F3EF8">
        <w:t>.</w:t>
      </w:r>
      <w:r>
        <w:t xml:space="preserve"> London: </w:t>
      </w:r>
      <w:r w:rsidRPr="008F3EF8">
        <w:t>CRC Press Boca Raton and IWA Publishing.</w:t>
      </w:r>
    </w:p>
    <w:p w14:paraId="041E3563" w14:textId="77777777" w:rsidR="003741ED" w:rsidRPr="004E2F49" w:rsidRDefault="003741ED" w:rsidP="001528E4">
      <w:pPr>
        <w:pStyle w:val="References"/>
      </w:pPr>
      <w:r>
        <w:t>Hutton G,</w:t>
      </w:r>
      <w:r w:rsidRPr="008F3EF8">
        <w:t xml:space="preserve"> Ha</w:t>
      </w:r>
      <w:r>
        <w:t>ller</w:t>
      </w:r>
      <w:r w:rsidRPr="008F3EF8">
        <w:t xml:space="preserve"> </w:t>
      </w:r>
      <w:r>
        <w:t xml:space="preserve">L. </w:t>
      </w:r>
      <w:r w:rsidRPr="008F3EF8">
        <w:t>2004</w:t>
      </w:r>
      <w:r>
        <w:t xml:space="preserve">. </w:t>
      </w:r>
      <w:r w:rsidRPr="004E2F49">
        <w:rPr>
          <w:i/>
        </w:rPr>
        <w:t>Evaluation of the Costs and Benefits of Water and Sanitation Improvements at the Global Level</w:t>
      </w:r>
      <w:r w:rsidRPr="008F3EF8">
        <w:t>.</w:t>
      </w:r>
      <w:r>
        <w:t xml:space="preserve"> WHO/SDE/WSH/04.04. Geneva: </w:t>
      </w:r>
      <w:r w:rsidRPr="004E2F49">
        <w:t>WHO</w:t>
      </w:r>
      <w:r>
        <w:t xml:space="preserve">. See: </w:t>
      </w:r>
      <w:hyperlink r:id="rId47" w:history="1">
        <w:r w:rsidRPr="00A12F1C">
          <w:rPr>
            <w:rStyle w:val="Hyperlink"/>
          </w:rPr>
          <w:t>http://www.who.int/water_sanitation_health/wsh0404/en/</w:t>
        </w:r>
      </w:hyperlink>
    </w:p>
    <w:p w14:paraId="041E3564" w14:textId="77777777" w:rsidR="003741ED" w:rsidRPr="008F3EF8" w:rsidRDefault="003741ED" w:rsidP="001528E4">
      <w:pPr>
        <w:pStyle w:val="References"/>
      </w:pPr>
      <w:r w:rsidRPr="008F3EF8">
        <w:t>IANZ</w:t>
      </w:r>
      <w:r>
        <w:t>.</w:t>
      </w:r>
      <w:r w:rsidRPr="008F3EF8">
        <w:t xml:space="preserve"> 2000.</w:t>
      </w:r>
      <w:r>
        <w:t xml:space="preserve"> </w:t>
      </w:r>
      <w:r w:rsidRPr="00ED13C3">
        <w:rPr>
          <w:i/>
        </w:rPr>
        <w:t xml:space="preserve">General </w:t>
      </w:r>
      <w:r>
        <w:rPr>
          <w:i/>
        </w:rPr>
        <w:t>R</w:t>
      </w:r>
      <w:r w:rsidRPr="00ED13C3">
        <w:rPr>
          <w:i/>
        </w:rPr>
        <w:t xml:space="preserve">equirements for the </w:t>
      </w:r>
      <w:r>
        <w:rPr>
          <w:i/>
        </w:rPr>
        <w:t>C</w:t>
      </w:r>
      <w:r w:rsidRPr="00ED13C3">
        <w:rPr>
          <w:i/>
        </w:rPr>
        <w:t xml:space="preserve">ompetence of </w:t>
      </w:r>
      <w:r>
        <w:rPr>
          <w:i/>
        </w:rPr>
        <w:t>T</w:t>
      </w:r>
      <w:r w:rsidRPr="00ED13C3">
        <w:rPr>
          <w:i/>
        </w:rPr>
        <w:t xml:space="preserve">esting and </w:t>
      </w:r>
      <w:r>
        <w:rPr>
          <w:i/>
        </w:rPr>
        <w:t>C</w:t>
      </w:r>
      <w:r w:rsidRPr="00ED13C3">
        <w:rPr>
          <w:i/>
        </w:rPr>
        <w:t xml:space="preserve">alibration </w:t>
      </w:r>
      <w:r>
        <w:rPr>
          <w:i/>
        </w:rPr>
        <w:t>L</w:t>
      </w:r>
      <w:r w:rsidRPr="00ED13C3">
        <w:rPr>
          <w:i/>
        </w:rPr>
        <w:t>aboratories</w:t>
      </w:r>
      <w:r>
        <w:t xml:space="preserve"> </w:t>
      </w:r>
      <w:r w:rsidRPr="008F3EF8">
        <w:t>(NZS/ISO/IEC 17025).</w:t>
      </w:r>
    </w:p>
    <w:p w14:paraId="041E3565" w14:textId="77777777" w:rsidR="003741ED" w:rsidRPr="008F3EF8" w:rsidRDefault="003741ED" w:rsidP="001528E4">
      <w:pPr>
        <w:pStyle w:val="References"/>
      </w:pPr>
      <w:r w:rsidRPr="008F3EF8">
        <w:t>IANZ</w:t>
      </w:r>
      <w:r>
        <w:t>.</w:t>
      </w:r>
      <w:r w:rsidRPr="008F3EF8">
        <w:t xml:space="preserve"> 2007.</w:t>
      </w:r>
      <w:r>
        <w:t xml:space="preserve"> </w:t>
      </w:r>
      <w:r w:rsidRPr="00ED13C3">
        <w:rPr>
          <w:i/>
        </w:rPr>
        <w:t>Supplementary Criteria for Accreditation No. 1.2/2.2</w:t>
      </w:r>
      <w:r>
        <w:t xml:space="preserve"> (2nd edition)</w:t>
      </w:r>
      <w:r w:rsidRPr="008F3EF8">
        <w:t>.</w:t>
      </w:r>
      <w:r>
        <w:t xml:space="preserve"> Auckland: </w:t>
      </w:r>
      <w:r w:rsidRPr="008F3EF8">
        <w:t>Ministry of Health Register of Water Testing Laboratories</w:t>
      </w:r>
      <w:r>
        <w:t xml:space="preserve">, </w:t>
      </w:r>
      <w:r w:rsidRPr="008F3EF8">
        <w:t>International Accreditation New Zealand.</w:t>
      </w:r>
      <w:r>
        <w:t xml:space="preserve"> </w:t>
      </w:r>
      <w:r w:rsidRPr="008F3EF8">
        <w:t xml:space="preserve">See: </w:t>
      </w:r>
      <w:hyperlink r:id="rId48" w:history="1">
        <w:r w:rsidRPr="00A12F1C">
          <w:rPr>
            <w:rStyle w:val="Hyperlink"/>
          </w:rPr>
          <w:t>http://www.ianz.govt.nz</w:t>
        </w:r>
      </w:hyperlink>
    </w:p>
    <w:p w14:paraId="041E3566" w14:textId="77777777" w:rsidR="003741ED" w:rsidRDefault="003741ED" w:rsidP="001528E4">
      <w:pPr>
        <w:pStyle w:val="References"/>
      </w:pPr>
      <w:r w:rsidRPr="008F3EF8">
        <w:t>Ionas G, Learmonth</w:t>
      </w:r>
      <w:r>
        <w:t xml:space="preserve"> JJ</w:t>
      </w:r>
      <w:r w:rsidRPr="008F3EF8">
        <w:t xml:space="preserve">, Keys </w:t>
      </w:r>
      <w:r>
        <w:t xml:space="preserve">EA, </w:t>
      </w:r>
      <w:r w:rsidR="004A00B0">
        <w:t>et al</w:t>
      </w:r>
      <w:r>
        <w:t>.</w:t>
      </w:r>
      <w:r w:rsidRPr="008F3EF8">
        <w:t xml:space="preserve"> 1999.</w:t>
      </w:r>
      <w:r>
        <w:t xml:space="preserve"> </w:t>
      </w:r>
      <w:r w:rsidRPr="008F3EF8">
        <w:t xml:space="preserve">Distribution of </w:t>
      </w:r>
      <w:r w:rsidRPr="004E2F49">
        <w:rPr>
          <w:i/>
        </w:rPr>
        <w:t>Giardia</w:t>
      </w:r>
      <w:r w:rsidRPr="008F3EF8">
        <w:t xml:space="preserve"> and </w:t>
      </w:r>
      <w:r w:rsidRPr="004E2F49">
        <w:rPr>
          <w:i/>
        </w:rPr>
        <w:t>Cryptosporidium</w:t>
      </w:r>
      <w:r w:rsidRPr="008F3EF8">
        <w:t xml:space="preserve"> in natural water systems in New Zealand – a nationwide survey.</w:t>
      </w:r>
      <w:r>
        <w:t xml:space="preserve"> </w:t>
      </w:r>
      <w:r w:rsidRPr="00ED13C3">
        <w:rPr>
          <w:i/>
        </w:rPr>
        <w:t>Water Science and Technology</w:t>
      </w:r>
      <w:r w:rsidRPr="008F3EF8">
        <w:t xml:space="preserve"> </w:t>
      </w:r>
      <w:r w:rsidRPr="00ED13C3">
        <w:t>38</w:t>
      </w:r>
      <w:r w:rsidRPr="008F3EF8">
        <w:t>(12)</w:t>
      </w:r>
      <w:r>
        <w:t>: </w:t>
      </w:r>
      <w:r w:rsidRPr="008F3EF8">
        <w:t>57</w:t>
      </w:r>
      <w:r>
        <w:t>–</w:t>
      </w:r>
      <w:r w:rsidRPr="008F3EF8">
        <w:t>60.</w:t>
      </w:r>
    </w:p>
    <w:p w14:paraId="041E3567" w14:textId="77777777" w:rsidR="003741ED" w:rsidRPr="001528E4" w:rsidRDefault="003741ED" w:rsidP="001528E4">
      <w:pPr>
        <w:pStyle w:val="References"/>
        <w:rPr>
          <w:rStyle w:val="Hyperlink"/>
          <w:b w:val="0"/>
          <w:color w:val="auto"/>
        </w:rPr>
      </w:pPr>
      <w:r w:rsidRPr="001528E4">
        <w:rPr>
          <w:rStyle w:val="Hyperlink"/>
          <w:b w:val="0"/>
          <w:color w:val="auto"/>
        </w:rPr>
        <w:t xml:space="preserve">Lake R, Adlam B, Perera S. 2009. </w:t>
      </w:r>
      <w:r w:rsidRPr="001528E4">
        <w:rPr>
          <w:rStyle w:val="Hyperlink"/>
          <w:b w:val="0"/>
          <w:i/>
          <w:color w:val="auto"/>
        </w:rPr>
        <w:t>Acute Gast</w:t>
      </w:r>
      <w:r w:rsidR="0090649D">
        <w:rPr>
          <w:rStyle w:val="Hyperlink"/>
          <w:b w:val="0"/>
          <w:i/>
          <w:color w:val="auto"/>
        </w:rPr>
        <w:t>r</w:t>
      </w:r>
      <w:r w:rsidRPr="001528E4">
        <w:rPr>
          <w:rStyle w:val="Hyperlink"/>
          <w:b w:val="0"/>
          <w:i/>
          <w:color w:val="auto"/>
        </w:rPr>
        <w:t xml:space="preserve">ointestinal Illness (AGI) Study: Final </w:t>
      </w:r>
      <w:r w:rsidR="001528E4">
        <w:rPr>
          <w:rStyle w:val="Hyperlink"/>
          <w:b w:val="0"/>
          <w:i/>
          <w:color w:val="auto"/>
        </w:rPr>
        <w:t>s</w:t>
      </w:r>
      <w:r w:rsidRPr="001528E4">
        <w:rPr>
          <w:rStyle w:val="Hyperlink"/>
          <w:b w:val="0"/>
          <w:i/>
          <w:color w:val="auto"/>
        </w:rPr>
        <w:t xml:space="preserve">tudy </w:t>
      </w:r>
      <w:r w:rsidR="001528E4">
        <w:rPr>
          <w:rStyle w:val="Hyperlink"/>
          <w:b w:val="0"/>
          <w:i/>
          <w:color w:val="auto"/>
        </w:rPr>
        <w:t>r</w:t>
      </w:r>
      <w:r w:rsidRPr="001528E4">
        <w:rPr>
          <w:rStyle w:val="Hyperlink"/>
          <w:b w:val="0"/>
          <w:i/>
          <w:color w:val="auto"/>
        </w:rPr>
        <w:t>eport</w:t>
      </w:r>
      <w:r w:rsidRPr="001528E4">
        <w:rPr>
          <w:rStyle w:val="Hyperlink"/>
          <w:b w:val="0"/>
          <w:color w:val="auto"/>
        </w:rPr>
        <w:t xml:space="preserve">. </w:t>
      </w:r>
      <w:r w:rsidR="001528E4">
        <w:rPr>
          <w:rStyle w:val="Hyperlink"/>
          <w:b w:val="0"/>
          <w:color w:val="auto"/>
        </w:rPr>
        <w:t xml:space="preserve">Christchurch: </w:t>
      </w:r>
      <w:r w:rsidRPr="001528E4">
        <w:rPr>
          <w:rStyle w:val="Hyperlink"/>
          <w:b w:val="0"/>
          <w:color w:val="auto"/>
        </w:rPr>
        <w:t>ESR.</w:t>
      </w:r>
    </w:p>
    <w:p w14:paraId="041E3568" w14:textId="77777777" w:rsidR="003741ED" w:rsidRPr="008F3EF8" w:rsidRDefault="003741ED" w:rsidP="001528E4">
      <w:pPr>
        <w:pStyle w:val="References"/>
      </w:pPr>
      <w:r>
        <w:t xml:space="preserve">LECG. 2010. </w:t>
      </w:r>
      <w:r w:rsidRPr="00ED13C3">
        <w:rPr>
          <w:i/>
        </w:rPr>
        <w:t xml:space="preserve">Cost </w:t>
      </w:r>
      <w:r>
        <w:rPr>
          <w:i/>
        </w:rPr>
        <w:t>B</w:t>
      </w:r>
      <w:r w:rsidRPr="00ED13C3">
        <w:rPr>
          <w:i/>
        </w:rPr>
        <w:t xml:space="preserve">enefit </w:t>
      </w:r>
      <w:r>
        <w:rPr>
          <w:i/>
        </w:rPr>
        <w:t>A</w:t>
      </w:r>
      <w:r w:rsidRPr="00ED13C3">
        <w:rPr>
          <w:i/>
        </w:rPr>
        <w:t xml:space="preserve">nalysis of </w:t>
      </w:r>
      <w:r>
        <w:rPr>
          <w:i/>
        </w:rPr>
        <w:t>R</w:t>
      </w:r>
      <w:r w:rsidRPr="00ED13C3">
        <w:rPr>
          <w:i/>
        </w:rPr>
        <w:t xml:space="preserve">aising the </w:t>
      </w:r>
      <w:r>
        <w:rPr>
          <w:i/>
        </w:rPr>
        <w:t>Q</w:t>
      </w:r>
      <w:r w:rsidRPr="00ED13C3">
        <w:rPr>
          <w:i/>
        </w:rPr>
        <w:t xml:space="preserve">uality of New Zealand </w:t>
      </w:r>
      <w:r>
        <w:rPr>
          <w:i/>
        </w:rPr>
        <w:t>N</w:t>
      </w:r>
      <w:r w:rsidRPr="00ED13C3">
        <w:rPr>
          <w:i/>
        </w:rPr>
        <w:t xml:space="preserve">etworked </w:t>
      </w:r>
      <w:r>
        <w:rPr>
          <w:i/>
        </w:rPr>
        <w:t>D</w:t>
      </w:r>
      <w:r w:rsidRPr="00ED13C3">
        <w:rPr>
          <w:i/>
        </w:rPr>
        <w:t xml:space="preserve">rinking </w:t>
      </w:r>
      <w:r>
        <w:rPr>
          <w:i/>
        </w:rPr>
        <w:t>W</w:t>
      </w:r>
      <w:r w:rsidRPr="00ED13C3">
        <w:rPr>
          <w:i/>
        </w:rPr>
        <w:t>ater</w:t>
      </w:r>
      <w:r>
        <w:t xml:space="preserve">. Report to the Ministry of Health. 274 pp. </w:t>
      </w:r>
      <w:hyperlink r:id="rId49" w:history="1">
        <w:r w:rsidRPr="00A66870">
          <w:rPr>
            <w:rStyle w:val="Hyperlink"/>
          </w:rPr>
          <w:t>http://www.health.govt.nz/publication/drinking-water-cost-benefit-analysis</w:t>
        </w:r>
      </w:hyperlink>
    </w:p>
    <w:p w14:paraId="041E3569" w14:textId="77777777" w:rsidR="003741ED" w:rsidRPr="00471CDB" w:rsidRDefault="003741ED" w:rsidP="001528E4">
      <w:pPr>
        <w:pStyle w:val="References"/>
      </w:pPr>
      <w:r w:rsidRPr="00471CDB">
        <w:t>McBride GB</w:t>
      </w:r>
      <w:r>
        <w:t>,</w:t>
      </w:r>
      <w:r w:rsidRPr="00471CDB">
        <w:t xml:space="preserve"> Ellis </w:t>
      </w:r>
      <w:r>
        <w:t xml:space="preserve">JC. </w:t>
      </w:r>
      <w:r w:rsidRPr="00471CDB">
        <w:t>2001.</w:t>
      </w:r>
      <w:r>
        <w:t xml:space="preserve"> </w:t>
      </w:r>
      <w:r w:rsidRPr="00471CDB">
        <w:t>Confidence of compliance: a Bayesian approach for percentile standards.</w:t>
      </w:r>
      <w:r>
        <w:t xml:space="preserve"> </w:t>
      </w:r>
      <w:r w:rsidRPr="00EA4ADC">
        <w:rPr>
          <w:i/>
        </w:rPr>
        <w:t>Water Research</w:t>
      </w:r>
      <w:r w:rsidRPr="00471CDB">
        <w:t xml:space="preserve"> </w:t>
      </w:r>
      <w:r w:rsidRPr="00EA4ADC">
        <w:t>35</w:t>
      </w:r>
      <w:r w:rsidRPr="00471CDB">
        <w:t>(5)</w:t>
      </w:r>
      <w:r>
        <w:t>:</w:t>
      </w:r>
      <w:r w:rsidRPr="00471CDB">
        <w:t xml:space="preserve"> 1117–24.</w:t>
      </w:r>
    </w:p>
    <w:p w14:paraId="041E356A" w14:textId="77777777" w:rsidR="003741ED" w:rsidRPr="00471CDB" w:rsidRDefault="003741ED" w:rsidP="001528E4">
      <w:pPr>
        <w:pStyle w:val="References"/>
      </w:pPr>
      <w:r w:rsidRPr="00471CDB">
        <w:t>McBride GB. 2005.</w:t>
      </w:r>
      <w:r>
        <w:t xml:space="preserve"> </w:t>
      </w:r>
      <w:r w:rsidRPr="00C1279C">
        <w:rPr>
          <w:i/>
        </w:rPr>
        <w:t xml:space="preserve">Using Statistical Methods for Water Quality Management: Issues, Options and </w:t>
      </w:r>
      <w:r w:rsidR="001528E4">
        <w:rPr>
          <w:i/>
        </w:rPr>
        <w:t>s</w:t>
      </w:r>
      <w:r w:rsidRPr="00C1279C">
        <w:rPr>
          <w:i/>
        </w:rPr>
        <w:t>olutions</w:t>
      </w:r>
      <w:r w:rsidRPr="00471CDB">
        <w:t>.</w:t>
      </w:r>
      <w:r>
        <w:t xml:space="preserve"> New York: </w:t>
      </w:r>
      <w:r w:rsidRPr="00471CDB">
        <w:t>Wiley</w:t>
      </w:r>
      <w:r>
        <w:t>.</w:t>
      </w:r>
    </w:p>
    <w:p w14:paraId="041E356B" w14:textId="77777777" w:rsidR="003741ED" w:rsidRPr="008F3EF8" w:rsidRDefault="003741ED" w:rsidP="001528E4">
      <w:pPr>
        <w:pStyle w:val="References"/>
      </w:pPr>
      <w:r w:rsidRPr="008F3EF8">
        <w:t>McBride G, Till</w:t>
      </w:r>
      <w:r>
        <w:t xml:space="preserve"> D</w:t>
      </w:r>
      <w:r w:rsidRPr="008F3EF8">
        <w:t>, Ryan</w:t>
      </w:r>
      <w:r>
        <w:t xml:space="preserve"> T</w:t>
      </w:r>
      <w:r w:rsidRPr="008F3EF8">
        <w:t xml:space="preserve">, </w:t>
      </w:r>
      <w:r w:rsidR="004A00B0">
        <w:t>et al</w:t>
      </w:r>
      <w:r>
        <w:t>.</w:t>
      </w:r>
      <w:r w:rsidRPr="008F3EF8">
        <w:t xml:space="preserve"> 2002.</w:t>
      </w:r>
      <w:r>
        <w:t xml:space="preserve"> </w:t>
      </w:r>
      <w:r w:rsidRPr="00ED13C3">
        <w:rPr>
          <w:i/>
        </w:rPr>
        <w:t xml:space="preserve">Freshwater </w:t>
      </w:r>
      <w:r>
        <w:rPr>
          <w:i/>
        </w:rPr>
        <w:t>M</w:t>
      </w:r>
      <w:r w:rsidRPr="00ED13C3">
        <w:rPr>
          <w:i/>
        </w:rPr>
        <w:t xml:space="preserve">icrobiology </w:t>
      </w:r>
      <w:r>
        <w:rPr>
          <w:i/>
        </w:rPr>
        <w:t>R</w:t>
      </w:r>
      <w:r w:rsidRPr="00ED13C3">
        <w:rPr>
          <w:i/>
        </w:rPr>
        <w:t xml:space="preserve">esearch </w:t>
      </w:r>
      <w:r>
        <w:rPr>
          <w:i/>
        </w:rPr>
        <w:t>R</w:t>
      </w:r>
      <w:r w:rsidRPr="00ED13C3">
        <w:rPr>
          <w:i/>
        </w:rPr>
        <w:t xml:space="preserve">eport: </w:t>
      </w:r>
      <w:r>
        <w:rPr>
          <w:i/>
        </w:rPr>
        <w:t>P</w:t>
      </w:r>
      <w:r w:rsidRPr="00ED13C3">
        <w:rPr>
          <w:i/>
        </w:rPr>
        <w:t>athogen occurrence and human health risk assessment analysis</w:t>
      </w:r>
      <w:r w:rsidRPr="008F3EF8">
        <w:t>.</w:t>
      </w:r>
      <w:r>
        <w:t xml:space="preserve"> Wellington: </w:t>
      </w:r>
      <w:r w:rsidRPr="008F3EF8">
        <w:t>Ministry for the Environment.</w:t>
      </w:r>
    </w:p>
    <w:p w14:paraId="041E356C" w14:textId="77777777" w:rsidR="003741ED" w:rsidRPr="007241B7" w:rsidRDefault="003741ED" w:rsidP="001528E4">
      <w:pPr>
        <w:pStyle w:val="References"/>
      </w:pPr>
      <w:r w:rsidRPr="007241B7">
        <w:t>McElnay C</w:t>
      </w:r>
      <w:r>
        <w:t>,</w:t>
      </w:r>
      <w:r w:rsidRPr="007241B7">
        <w:t xml:space="preserve"> Inkson </w:t>
      </w:r>
      <w:r>
        <w:t xml:space="preserve">I. </w:t>
      </w:r>
      <w:r w:rsidRPr="007241B7">
        <w:t>2002.</w:t>
      </w:r>
      <w:r>
        <w:t xml:space="preserve"> </w:t>
      </w:r>
      <w:r w:rsidRPr="007241B7">
        <w:t xml:space="preserve">Outbreak of </w:t>
      </w:r>
      <w:r w:rsidRPr="007241B7">
        <w:rPr>
          <w:i/>
        </w:rPr>
        <w:t>Campylobacter</w:t>
      </w:r>
      <w:r w:rsidRPr="007241B7">
        <w:t xml:space="preserve"> in Hawke</w:t>
      </w:r>
      <w:r>
        <w:t>’</w:t>
      </w:r>
      <w:r w:rsidRPr="007241B7">
        <w:t>s Bay traced to school water supply.</w:t>
      </w:r>
      <w:r>
        <w:t xml:space="preserve"> </w:t>
      </w:r>
      <w:r w:rsidRPr="007241B7">
        <w:t xml:space="preserve">In: </w:t>
      </w:r>
      <w:r w:rsidRPr="00ED13C3">
        <w:rPr>
          <w:i/>
        </w:rPr>
        <w:t>Annual Summary of Outbreaks in New Zealand 2001: A report to the Ministry of Health</w:t>
      </w:r>
      <w:r w:rsidRPr="007241B7">
        <w:t>.</w:t>
      </w:r>
      <w:r>
        <w:t xml:space="preserve"> </w:t>
      </w:r>
      <w:r w:rsidRPr="007241B7">
        <w:t>Wellington</w:t>
      </w:r>
      <w:r>
        <w:t>:</w:t>
      </w:r>
      <w:r w:rsidRPr="007241B7">
        <w:t xml:space="preserve"> Institute of Environmental Science and Research Limited (ESR).</w:t>
      </w:r>
    </w:p>
    <w:p w14:paraId="041E356D" w14:textId="77777777" w:rsidR="003741ED" w:rsidRPr="008F3EF8" w:rsidRDefault="003741ED" w:rsidP="001528E4">
      <w:pPr>
        <w:pStyle w:val="References"/>
      </w:pPr>
      <w:r w:rsidRPr="008F3EF8">
        <w:t>Ministry of Health.</w:t>
      </w:r>
      <w:r>
        <w:t xml:space="preserve"> 1992 to present day. </w:t>
      </w:r>
      <w:r w:rsidRPr="004E2F49">
        <w:rPr>
          <w:i/>
        </w:rPr>
        <w:t>Annual Reviews of Drinking-water Quality in New Zealand</w:t>
      </w:r>
      <w:r w:rsidRPr="008F3EF8">
        <w:t>.</w:t>
      </w:r>
      <w:r>
        <w:t xml:space="preserve"> Wellington: </w:t>
      </w:r>
      <w:r w:rsidRPr="008F3EF8">
        <w:t>Ministry of Health</w:t>
      </w:r>
      <w:r>
        <w:t>.</w:t>
      </w:r>
    </w:p>
    <w:p w14:paraId="041E356E" w14:textId="77777777" w:rsidR="003741ED" w:rsidRPr="008F3EF8" w:rsidRDefault="003741ED" w:rsidP="001528E4">
      <w:pPr>
        <w:pStyle w:val="References"/>
      </w:pPr>
      <w:r w:rsidRPr="008F3EF8">
        <w:t>Ministry of Health.</w:t>
      </w:r>
      <w:r>
        <w:t xml:space="preserve"> 1993 to present day. </w:t>
      </w:r>
      <w:r w:rsidRPr="004E2F49">
        <w:rPr>
          <w:i/>
        </w:rPr>
        <w:t>Register of Community Drinking-</w:t>
      </w:r>
      <w:r>
        <w:rPr>
          <w:i/>
        </w:rPr>
        <w:t>w</w:t>
      </w:r>
      <w:r w:rsidRPr="004E2F49">
        <w:rPr>
          <w:i/>
        </w:rPr>
        <w:t>ater Supplies and Suppliers in New Zealand</w:t>
      </w:r>
      <w:r w:rsidRPr="00324DF9">
        <w:rPr>
          <w:i/>
        </w:rPr>
        <w:t>.</w:t>
      </w:r>
      <w:r>
        <w:t xml:space="preserve"> Wellington: </w:t>
      </w:r>
      <w:r w:rsidRPr="008F3EF8">
        <w:t>Ministry of Health</w:t>
      </w:r>
      <w:r>
        <w:t>.</w:t>
      </w:r>
    </w:p>
    <w:p w14:paraId="041E356F" w14:textId="77777777" w:rsidR="003741ED" w:rsidRPr="008F3EF8" w:rsidRDefault="003741ED" w:rsidP="001528E4">
      <w:pPr>
        <w:pStyle w:val="References"/>
      </w:pPr>
      <w:r w:rsidRPr="008F3EF8">
        <w:t>Ministry of Health</w:t>
      </w:r>
      <w:r>
        <w:t>.</w:t>
      </w:r>
      <w:r w:rsidRPr="008F3EF8">
        <w:t xml:space="preserve"> </w:t>
      </w:r>
      <w:r>
        <w:t xml:space="preserve">1995, 2000, </w:t>
      </w:r>
      <w:r w:rsidRPr="008F3EF8">
        <w:t>2005</w:t>
      </w:r>
      <w:r>
        <w:t>,</w:t>
      </w:r>
      <w:r w:rsidRPr="008F3EF8">
        <w:t xml:space="preserve"> 2008</w:t>
      </w:r>
      <w:r>
        <w:t xml:space="preserve"> and 2018</w:t>
      </w:r>
      <w:r w:rsidRPr="008F3EF8">
        <w:t>.</w:t>
      </w:r>
      <w:r>
        <w:t xml:space="preserve"> </w:t>
      </w:r>
      <w:r w:rsidRPr="004E2F49">
        <w:rPr>
          <w:i/>
        </w:rPr>
        <w:t>Drinking-water Standards for New Zealand</w:t>
      </w:r>
      <w:r w:rsidRPr="008F3EF8">
        <w:t>.</w:t>
      </w:r>
      <w:r>
        <w:t xml:space="preserve"> Wellington: </w:t>
      </w:r>
      <w:r w:rsidRPr="008F3EF8">
        <w:t>Ministry of Health.</w:t>
      </w:r>
    </w:p>
    <w:p w14:paraId="041E3570" w14:textId="77777777" w:rsidR="003741ED" w:rsidRDefault="003741ED" w:rsidP="001528E4">
      <w:pPr>
        <w:pStyle w:val="References"/>
      </w:pPr>
      <w:r w:rsidRPr="008F3EF8">
        <w:t>Ministry of Health</w:t>
      </w:r>
      <w:r>
        <w:t>.</w:t>
      </w:r>
      <w:r w:rsidRPr="008F3EF8">
        <w:t xml:space="preserve"> 2001</w:t>
      </w:r>
      <w:r>
        <w:t xml:space="preserve">. </w:t>
      </w:r>
      <w:r w:rsidRPr="00324DF9">
        <w:rPr>
          <w:i/>
        </w:rPr>
        <w:t>How to Prepare and Develop Public Health Risk Management Plans for Drinking-</w:t>
      </w:r>
      <w:r>
        <w:rPr>
          <w:i/>
        </w:rPr>
        <w:t>w</w:t>
      </w:r>
      <w:r w:rsidRPr="00324DF9">
        <w:rPr>
          <w:i/>
        </w:rPr>
        <w:t>ater Supplies</w:t>
      </w:r>
      <w:r>
        <w:t xml:space="preserve">. Wellington: </w:t>
      </w:r>
      <w:r w:rsidRPr="008F3EF8">
        <w:t>Ministry of Health</w:t>
      </w:r>
      <w:r>
        <w:t>.</w:t>
      </w:r>
    </w:p>
    <w:p w14:paraId="041E3571" w14:textId="77777777" w:rsidR="003741ED" w:rsidRPr="008F3EF8" w:rsidRDefault="003741ED" w:rsidP="001528E4">
      <w:pPr>
        <w:pStyle w:val="References"/>
      </w:pPr>
      <w:r>
        <w:t>Ministry of Health. 2008</w:t>
      </w:r>
      <w:r w:rsidRPr="00E66263">
        <w:t>.</w:t>
      </w:r>
      <w:r>
        <w:t xml:space="preserve"> </w:t>
      </w:r>
      <w:r w:rsidRPr="00CC00DC">
        <w:rPr>
          <w:i/>
          <w:iCs/>
        </w:rPr>
        <w:t>Guidelines for the Safe Carriage and Delivery of Drinking-water</w:t>
      </w:r>
      <w:r w:rsidRPr="00CC00DC">
        <w:t xml:space="preserve">. </w:t>
      </w:r>
      <w:hyperlink r:id="rId50" w:history="1">
        <w:r w:rsidRPr="00D40C6A">
          <w:rPr>
            <w:rStyle w:val="Hyperlink"/>
          </w:rPr>
          <w:t>https://www.health.govt.nz/publication/guidelines-safe-carriage-and-delivery-drinking-water</w:t>
        </w:r>
      </w:hyperlink>
    </w:p>
    <w:p w14:paraId="041E3572" w14:textId="77777777" w:rsidR="003741ED" w:rsidRDefault="003741ED" w:rsidP="001528E4">
      <w:pPr>
        <w:pStyle w:val="References"/>
      </w:pPr>
      <w:r w:rsidRPr="00E66263">
        <w:t xml:space="preserve">Ministry of Health. 2015. </w:t>
      </w:r>
      <w:r w:rsidRPr="00E66263">
        <w:rPr>
          <w:i/>
          <w:iCs/>
        </w:rPr>
        <w:t>Rural Agricultural Drinking-water Supply Guideline</w:t>
      </w:r>
      <w:r w:rsidRPr="00E66263">
        <w:rPr>
          <w:iCs/>
        </w:rPr>
        <w:t xml:space="preserve">. </w:t>
      </w:r>
      <w:r w:rsidRPr="00E66263">
        <w:t xml:space="preserve">Wellington: Ministry of Health. 12 pp. </w:t>
      </w:r>
      <w:hyperlink r:id="rId51" w:history="1">
        <w:r w:rsidRPr="001528E4">
          <w:rPr>
            <w:rStyle w:val="Hyperlink"/>
          </w:rPr>
          <w:t>http://www.health.govt.nz/publication/rural-agricultural-drinking-water-supply-guideline</w:t>
        </w:r>
      </w:hyperlink>
    </w:p>
    <w:p w14:paraId="041E3573" w14:textId="77777777" w:rsidR="003741ED" w:rsidRPr="00E66263" w:rsidRDefault="003741ED" w:rsidP="001528E4">
      <w:pPr>
        <w:pStyle w:val="References"/>
      </w:pPr>
      <w:r>
        <w:t>Ministry of Health. 2018</w:t>
      </w:r>
      <w:r w:rsidRPr="00E66263">
        <w:t>.</w:t>
      </w:r>
      <w:r>
        <w:t xml:space="preserve"> </w:t>
      </w:r>
      <w:r w:rsidRPr="00CC00DC">
        <w:t>New Zealand Drinking-water Safety Plan Framework</w:t>
      </w:r>
      <w:r>
        <w:t xml:space="preserve">. </w:t>
      </w:r>
      <w:hyperlink r:id="rId52" w:history="1">
        <w:r w:rsidRPr="004033BF">
          <w:rPr>
            <w:rStyle w:val="Hyperlink"/>
          </w:rPr>
          <w:t>https://www.health.govt.nz/publication/new-zealand-drinking-water-safety-plan-framework</w:t>
        </w:r>
      </w:hyperlink>
    </w:p>
    <w:p w14:paraId="041E3574" w14:textId="77777777" w:rsidR="003741ED" w:rsidRDefault="003741ED" w:rsidP="001528E4">
      <w:pPr>
        <w:pStyle w:val="References"/>
      </w:pPr>
      <w:r w:rsidRPr="008F3EF8">
        <w:t>Nokes C, Devane</w:t>
      </w:r>
      <w:r>
        <w:t xml:space="preserve"> M</w:t>
      </w:r>
      <w:r w:rsidRPr="008F3EF8">
        <w:t>, Scholes</w:t>
      </w:r>
      <w:r>
        <w:t xml:space="preserve"> P</w:t>
      </w:r>
      <w:r w:rsidRPr="008F3EF8">
        <w:t xml:space="preserve">, </w:t>
      </w:r>
      <w:r w:rsidR="004A00B0">
        <w:t>et al</w:t>
      </w:r>
      <w:r>
        <w:t xml:space="preserve">. </w:t>
      </w:r>
      <w:r w:rsidRPr="008F3EF8">
        <w:t>2004.</w:t>
      </w:r>
      <w:r>
        <w:t xml:space="preserve"> </w:t>
      </w:r>
      <w:r w:rsidRPr="008F3EF8">
        <w:t xml:space="preserve">Survey of </w:t>
      </w:r>
      <w:r w:rsidRPr="004E2F49">
        <w:rPr>
          <w:i/>
        </w:rPr>
        <w:t>Campylobacter</w:t>
      </w:r>
      <w:r w:rsidRPr="008F3EF8">
        <w:t xml:space="preserve"> in New Zealand</w:t>
      </w:r>
      <w:r>
        <w:t>’</w:t>
      </w:r>
      <w:r w:rsidRPr="008F3EF8">
        <w:t>s treated drinking waters.</w:t>
      </w:r>
      <w:r>
        <w:t xml:space="preserve"> </w:t>
      </w:r>
      <w:r w:rsidRPr="00324DF9">
        <w:rPr>
          <w:i/>
        </w:rPr>
        <w:t xml:space="preserve">Proceedings of the New Zealand Water and Wastes Annual Conference </w:t>
      </w:r>
      <w:r>
        <w:rPr>
          <w:i/>
        </w:rPr>
        <w:t>and</w:t>
      </w:r>
      <w:r w:rsidRPr="00324DF9">
        <w:rPr>
          <w:i/>
        </w:rPr>
        <w:t xml:space="preserve"> Expo</w:t>
      </w:r>
      <w:r>
        <w:t>.</w:t>
      </w:r>
      <w:r w:rsidRPr="008F3EF8">
        <w:t xml:space="preserve"> Christchurch, </w:t>
      </w:r>
      <w:r w:rsidR="001528E4">
        <w:t xml:space="preserve">6–8 </w:t>
      </w:r>
      <w:r w:rsidRPr="008F3EF8">
        <w:t>October.</w:t>
      </w:r>
    </w:p>
    <w:p w14:paraId="041E3575" w14:textId="77777777" w:rsidR="003741ED" w:rsidRPr="008F3EF8" w:rsidRDefault="003741ED" w:rsidP="001528E4">
      <w:pPr>
        <w:pStyle w:val="References"/>
      </w:pPr>
      <w:r>
        <w:t xml:space="preserve">OECD. 2011. </w:t>
      </w:r>
      <w:r w:rsidRPr="000554F8">
        <w:rPr>
          <w:i/>
        </w:rPr>
        <w:t xml:space="preserve">Benefits of Investing in Water and Sanitation: An OECD </w:t>
      </w:r>
      <w:r w:rsidR="001528E4">
        <w:rPr>
          <w:i/>
        </w:rPr>
        <w:t>p</w:t>
      </w:r>
      <w:r w:rsidRPr="000554F8">
        <w:rPr>
          <w:i/>
        </w:rPr>
        <w:t>erspective</w:t>
      </w:r>
      <w:r>
        <w:t xml:space="preserve">. </w:t>
      </w:r>
      <w:r w:rsidRPr="000554F8">
        <w:t>OECD Publishing.</w:t>
      </w:r>
      <w:r>
        <w:t xml:space="preserve"> </w:t>
      </w:r>
      <w:r w:rsidRPr="000554F8">
        <w:t>151 pp.</w:t>
      </w:r>
      <w:r>
        <w:t xml:space="preserve"> </w:t>
      </w:r>
      <w:hyperlink r:id="rId53" w:history="1">
        <w:r w:rsidRPr="000554F8">
          <w:rPr>
            <w:rStyle w:val="Hyperlink"/>
          </w:rPr>
          <w:t>http://dx.doi.org/10.1787/9789264100817-en</w:t>
        </w:r>
      </w:hyperlink>
    </w:p>
    <w:p w14:paraId="041E3576" w14:textId="77777777" w:rsidR="003741ED" w:rsidRPr="008F3EF8" w:rsidRDefault="003741ED" w:rsidP="001528E4">
      <w:pPr>
        <w:pStyle w:val="References"/>
      </w:pPr>
      <w:r w:rsidRPr="008F3EF8">
        <w:t>Ogilvie DJ. 1989.</w:t>
      </w:r>
      <w:r>
        <w:t xml:space="preserve"> </w:t>
      </w:r>
      <w:r w:rsidRPr="008F3EF8">
        <w:t xml:space="preserve">Water </w:t>
      </w:r>
      <w:r>
        <w:t>s</w:t>
      </w:r>
      <w:r w:rsidRPr="008F3EF8">
        <w:t xml:space="preserve">upply </w:t>
      </w:r>
      <w:r>
        <w:t>q</w:t>
      </w:r>
      <w:r w:rsidRPr="008F3EF8">
        <w:t xml:space="preserve">uestionnaire, </w:t>
      </w:r>
      <w:r>
        <w:t>d</w:t>
      </w:r>
      <w:r w:rsidRPr="008F3EF8">
        <w:t xml:space="preserve">isinfection and </w:t>
      </w:r>
      <w:r>
        <w:t>b</w:t>
      </w:r>
      <w:r w:rsidRPr="008F3EF8">
        <w:t>acteriology.</w:t>
      </w:r>
      <w:r>
        <w:t xml:space="preserve"> </w:t>
      </w:r>
      <w:r w:rsidRPr="00324DF9">
        <w:rPr>
          <w:i/>
        </w:rPr>
        <w:t>New Zealand Water Supply and Disposal Association Newsletter</w:t>
      </w:r>
      <w:r w:rsidRPr="008F3EF8">
        <w:t xml:space="preserve"> (now </w:t>
      </w:r>
      <w:r w:rsidRPr="00324DF9">
        <w:rPr>
          <w:i/>
        </w:rPr>
        <w:t>New Zealand Water &amp; Wastes Association Journal</w:t>
      </w:r>
      <w:r w:rsidRPr="008F3EF8">
        <w:t>).</w:t>
      </w:r>
      <w:r>
        <w:t xml:space="preserve"> </w:t>
      </w:r>
      <w:r w:rsidRPr="008F3EF8">
        <w:t>Part I</w:t>
      </w:r>
      <w:r>
        <w:t>,</w:t>
      </w:r>
      <w:r w:rsidRPr="008F3EF8">
        <w:t xml:space="preserve"> issue #55</w:t>
      </w:r>
      <w:r>
        <w:t>:</w:t>
      </w:r>
      <w:r w:rsidRPr="008F3EF8">
        <w:t xml:space="preserve"> 8</w:t>
      </w:r>
      <w:r>
        <w:t>–</w:t>
      </w:r>
      <w:r w:rsidRPr="008F3EF8">
        <w:t>14; Part II</w:t>
      </w:r>
      <w:r>
        <w:t>,</w:t>
      </w:r>
      <w:r w:rsidRPr="008F3EF8">
        <w:t xml:space="preserve"> issue #56</w:t>
      </w:r>
      <w:r>
        <w:t xml:space="preserve">: </w:t>
      </w:r>
      <w:r w:rsidRPr="008F3EF8">
        <w:t>19</w:t>
      </w:r>
      <w:r>
        <w:t>–</w:t>
      </w:r>
      <w:r w:rsidRPr="008F3EF8">
        <w:t>26; Part III</w:t>
      </w:r>
      <w:r>
        <w:t>,</w:t>
      </w:r>
      <w:r w:rsidRPr="008F3EF8">
        <w:t xml:space="preserve"> issue #57</w:t>
      </w:r>
      <w:r>
        <w:t>:</w:t>
      </w:r>
      <w:r w:rsidRPr="008F3EF8">
        <w:t xml:space="preserve"> 20</w:t>
      </w:r>
      <w:r>
        <w:t>–</w:t>
      </w:r>
      <w:r w:rsidRPr="008F3EF8">
        <w:t>4.</w:t>
      </w:r>
    </w:p>
    <w:p w14:paraId="041E3577" w14:textId="77777777" w:rsidR="003741ED" w:rsidRPr="008F3EF8" w:rsidRDefault="003741ED" w:rsidP="001528E4">
      <w:pPr>
        <w:pStyle w:val="References"/>
      </w:pPr>
      <w:r>
        <w:t>OMS. 2004</w:t>
      </w:r>
      <w:r w:rsidRPr="008F3EF8">
        <w:t>.</w:t>
      </w:r>
      <w:r>
        <w:t xml:space="preserve"> </w:t>
      </w:r>
      <w:r w:rsidRPr="00324DF9">
        <w:rPr>
          <w:i/>
        </w:rPr>
        <w:t xml:space="preserve">Assistance </w:t>
      </w:r>
      <w:r>
        <w:rPr>
          <w:i/>
        </w:rPr>
        <w:t>O</w:t>
      </w:r>
      <w:r w:rsidRPr="00324DF9">
        <w:rPr>
          <w:i/>
        </w:rPr>
        <w:t xml:space="preserve">ptions for </w:t>
      </w:r>
      <w:r>
        <w:rPr>
          <w:i/>
        </w:rPr>
        <w:t>S</w:t>
      </w:r>
      <w:r w:rsidRPr="00324DF9">
        <w:rPr>
          <w:i/>
        </w:rPr>
        <w:t xml:space="preserve">afer </w:t>
      </w:r>
      <w:r>
        <w:rPr>
          <w:i/>
        </w:rPr>
        <w:t>D</w:t>
      </w:r>
      <w:r w:rsidRPr="00324DF9">
        <w:rPr>
          <w:i/>
        </w:rPr>
        <w:t xml:space="preserve">rinking </w:t>
      </w:r>
      <w:r>
        <w:rPr>
          <w:i/>
        </w:rPr>
        <w:t>W</w:t>
      </w:r>
      <w:r w:rsidRPr="00324DF9">
        <w:rPr>
          <w:i/>
        </w:rPr>
        <w:t xml:space="preserve">ater </w:t>
      </w:r>
      <w:r>
        <w:rPr>
          <w:i/>
        </w:rPr>
        <w:t>S</w:t>
      </w:r>
      <w:r w:rsidRPr="00324DF9">
        <w:rPr>
          <w:i/>
        </w:rPr>
        <w:t>ystems</w:t>
      </w:r>
      <w:r>
        <w:rPr>
          <w:i/>
        </w:rPr>
        <w:t>: Report to the Ministry of Health</w:t>
      </w:r>
      <w:r w:rsidRPr="008F3EF8">
        <w:t>.</w:t>
      </w:r>
      <w:r>
        <w:t xml:space="preserve"> Wellington: </w:t>
      </w:r>
      <w:r w:rsidRPr="008F3EF8">
        <w:t>Outcome Management Services Ltd.</w:t>
      </w:r>
    </w:p>
    <w:p w14:paraId="041E3578" w14:textId="77777777" w:rsidR="003741ED" w:rsidRPr="008F3EF8" w:rsidRDefault="003741ED" w:rsidP="001528E4">
      <w:pPr>
        <w:pStyle w:val="References"/>
      </w:pPr>
      <w:r w:rsidRPr="008F3EF8">
        <w:t>Payment P</w:t>
      </w:r>
      <w:r>
        <w:t>,</w:t>
      </w:r>
      <w:r w:rsidRPr="008F3EF8">
        <w:t xml:space="preserve"> Hunter </w:t>
      </w:r>
      <w:r>
        <w:t xml:space="preserve">P. </w:t>
      </w:r>
      <w:r w:rsidRPr="008F3EF8">
        <w:t>2003.</w:t>
      </w:r>
      <w:r>
        <w:t xml:space="preserve"> </w:t>
      </w:r>
      <w:r w:rsidRPr="008F3EF8">
        <w:t xml:space="preserve">Intervention </w:t>
      </w:r>
      <w:r>
        <w:t>s</w:t>
      </w:r>
      <w:r w:rsidRPr="008F3EF8">
        <w:t>tudies</w:t>
      </w:r>
      <w:r>
        <w:t>. I</w:t>
      </w:r>
      <w:r w:rsidRPr="008F3EF8">
        <w:t>n PR Hunter, M</w:t>
      </w:r>
      <w:r>
        <w:t xml:space="preserve"> </w:t>
      </w:r>
      <w:r w:rsidRPr="008F3EF8">
        <w:t>Waite, E Ronchi</w:t>
      </w:r>
      <w:r>
        <w:t>.</w:t>
      </w:r>
      <w:r w:rsidRPr="008F3EF8">
        <w:t xml:space="preserve"> 2003.</w:t>
      </w:r>
      <w:r>
        <w:t xml:space="preserve"> </w:t>
      </w:r>
      <w:r w:rsidRPr="004E2F49">
        <w:rPr>
          <w:i/>
        </w:rPr>
        <w:t>Drinking Water and Infectious Disease</w:t>
      </w:r>
      <w:r w:rsidRPr="008F3EF8">
        <w:t>.</w:t>
      </w:r>
      <w:r>
        <w:t xml:space="preserve"> Boca Raton, LA: </w:t>
      </w:r>
      <w:r w:rsidRPr="008F3EF8">
        <w:t>CRC Press and IWA Publishing.</w:t>
      </w:r>
    </w:p>
    <w:p w14:paraId="041E3579" w14:textId="77777777" w:rsidR="003741ED" w:rsidRPr="008F3EF8" w:rsidRDefault="003741ED" w:rsidP="001528E4">
      <w:pPr>
        <w:pStyle w:val="References"/>
      </w:pPr>
      <w:r w:rsidRPr="008F3EF8">
        <w:t>Percival S, Chalmers</w:t>
      </w:r>
      <w:r>
        <w:t xml:space="preserve"> R</w:t>
      </w:r>
      <w:r w:rsidRPr="008F3EF8">
        <w:t>, Embrey</w:t>
      </w:r>
      <w:r>
        <w:t xml:space="preserve"> M</w:t>
      </w:r>
      <w:r w:rsidRPr="008F3EF8">
        <w:t xml:space="preserve">, </w:t>
      </w:r>
      <w:r w:rsidR="004A00B0">
        <w:t>et al</w:t>
      </w:r>
      <w:r>
        <w:t>.</w:t>
      </w:r>
      <w:r w:rsidRPr="008F3EF8">
        <w:t xml:space="preserve"> 2004.</w:t>
      </w:r>
      <w:r>
        <w:t xml:space="preserve"> </w:t>
      </w:r>
      <w:r w:rsidRPr="004E2F49">
        <w:rPr>
          <w:i/>
        </w:rPr>
        <w:t xml:space="preserve">Microbiology of </w:t>
      </w:r>
      <w:r>
        <w:rPr>
          <w:i/>
        </w:rPr>
        <w:t>W</w:t>
      </w:r>
      <w:r w:rsidRPr="004E2F49">
        <w:rPr>
          <w:i/>
        </w:rPr>
        <w:t xml:space="preserve">ater-borne </w:t>
      </w:r>
      <w:r>
        <w:rPr>
          <w:i/>
        </w:rPr>
        <w:t>D</w:t>
      </w:r>
      <w:r w:rsidRPr="004E2F49">
        <w:rPr>
          <w:i/>
        </w:rPr>
        <w:t>iseases</w:t>
      </w:r>
      <w:r w:rsidRPr="008F3EF8">
        <w:t>.</w:t>
      </w:r>
      <w:r>
        <w:t xml:space="preserve"> Amsterdam: </w:t>
      </w:r>
      <w:r w:rsidRPr="008F3EF8">
        <w:t>Elsevier Academic Press</w:t>
      </w:r>
      <w:r>
        <w:t>.</w:t>
      </w:r>
    </w:p>
    <w:p w14:paraId="041E357A" w14:textId="77777777" w:rsidR="003741ED" w:rsidRDefault="003741ED" w:rsidP="001528E4">
      <w:pPr>
        <w:pStyle w:val="References"/>
      </w:pPr>
      <w:r w:rsidRPr="008F3EF8">
        <w:t>Pretty JN, Brett</w:t>
      </w:r>
      <w:r>
        <w:t xml:space="preserve"> C</w:t>
      </w:r>
      <w:r w:rsidRPr="008F3EF8">
        <w:t>, Gee</w:t>
      </w:r>
      <w:r>
        <w:t xml:space="preserve"> D</w:t>
      </w:r>
      <w:r w:rsidRPr="008F3EF8">
        <w:t xml:space="preserve">, </w:t>
      </w:r>
      <w:r w:rsidR="004A00B0">
        <w:t>et al</w:t>
      </w:r>
      <w:r>
        <w:t>.</w:t>
      </w:r>
      <w:r w:rsidRPr="008F3EF8">
        <w:t xml:space="preserve"> 2000.</w:t>
      </w:r>
      <w:r>
        <w:t xml:space="preserve"> </w:t>
      </w:r>
      <w:r w:rsidRPr="008F3EF8">
        <w:t>An assessment of the total external costs of UK</w:t>
      </w:r>
      <w:r w:rsidR="001528E4">
        <w:t> </w:t>
      </w:r>
      <w:r w:rsidRPr="008F3EF8">
        <w:t>agriculture.</w:t>
      </w:r>
      <w:r>
        <w:t xml:space="preserve"> </w:t>
      </w:r>
      <w:r w:rsidRPr="00324DF9">
        <w:rPr>
          <w:i/>
        </w:rPr>
        <w:t>Agricultural Systems</w:t>
      </w:r>
      <w:r w:rsidRPr="008F3EF8">
        <w:t xml:space="preserve"> </w:t>
      </w:r>
      <w:r w:rsidRPr="00324DF9">
        <w:t>65</w:t>
      </w:r>
      <w:r>
        <w:t>:</w:t>
      </w:r>
      <w:r w:rsidRPr="008F3EF8">
        <w:t xml:space="preserve"> 113</w:t>
      </w:r>
      <w:r>
        <w:t>–</w:t>
      </w:r>
      <w:r w:rsidRPr="008F3EF8">
        <w:t>36.</w:t>
      </w:r>
    </w:p>
    <w:p w14:paraId="041E357B" w14:textId="77777777" w:rsidR="003741ED" w:rsidRPr="008F3EF8" w:rsidRDefault="003741ED" w:rsidP="001528E4">
      <w:pPr>
        <w:pStyle w:val="References"/>
      </w:pPr>
      <w:r>
        <w:t>Queensland Gov</w:t>
      </w:r>
      <w:r w:rsidR="001528E4">
        <w:t>ernmen</w:t>
      </w:r>
      <w:r>
        <w:t>t. 2018. Fire Retardants and Health</w:t>
      </w:r>
      <w:r w:rsidRPr="00740FDB">
        <w:t xml:space="preserve">. </w:t>
      </w:r>
      <w:hyperlink r:id="rId54" w:history="1">
        <w:r w:rsidRPr="00CC00DC">
          <w:rPr>
            <w:rStyle w:val="Hyperlink"/>
            <w:rFonts w:cs="Arial"/>
            <w:lang w:val="en"/>
          </w:rPr>
          <w:t>https://www.qld.gov.au/health/staying-healthy/environmental/after-a-disaster/bushfires/fire-retardants-and-health</w:t>
        </w:r>
      </w:hyperlink>
    </w:p>
    <w:p w14:paraId="041E357C" w14:textId="77777777" w:rsidR="003741ED" w:rsidRPr="008F3EF8" w:rsidRDefault="003741ED" w:rsidP="001528E4">
      <w:pPr>
        <w:pStyle w:val="References"/>
      </w:pPr>
      <w:r w:rsidRPr="008F3EF8">
        <w:t>Reilly WJ</w:t>
      </w:r>
      <w:r>
        <w:t>,</w:t>
      </w:r>
      <w:r w:rsidRPr="008F3EF8">
        <w:t xml:space="preserve"> Browning </w:t>
      </w:r>
      <w:r>
        <w:t xml:space="preserve">LM. </w:t>
      </w:r>
      <w:r w:rsidRPr="008F3EF8">
        <w:t>2004.</w:t>
      </w:r>
      <w:r>
        <w:t xml:space="preserve"> </w:t>
      </w:r>
      <w:r w:rsidRPr="008F3EF8">
        <w:t>Zoonoses in Scotland</w:t>
      </w:r>
      <w:r>
        <w:t xml:space="preserve"> – </w:t>
      </w:r>
      <w:r w:rsidRPr="008F3EF8">
        <w:t>food, water, or contact?</w:t>
      </w:r>
      <w:r>
        <w:t xml:space="preserve"> </w:t>
      </w:r>
      <w:r w:rsidRPr="008F3EF8">
        <w:t>Chapter</w:t>
      </w:r>
      <w:r w:rsidR="001528E4">
        <w:t> </w:t>
      </w:r>
      <w:r w:rsidRPr="008F3EF8">
        <w:t>11 in JA</w:t>
      </w:r>
      <w:r>
        <w:t> </w:t>
      </w:r>
      <w:r w:rsidRPr="008F3EF8">
        <w:t xml:space="preserve">Cotruvo, A Dufour, G Rees, </w:t>
      </w:r>
      <w:r w:rsidR="004A00B0">
        <w:t>et al</w:t>
      </w:r>
      <w:r w:rsidRPr="008F3EF8">
        <w:t xml:space="preserve"> (eds.).</w:t>
      </w:r>
      <w:r>
        <w:t xml:space="preserve"> </w:t>
      </w:r>
      <w:r w:rsidRPr="004E2F49">
        <w:rPr>
          <w:i/>
        </w:rPr>
        <w:t>Waterborne Zoonoses Identification, Causes and Control</w:t>
      </w:r>
      <w:r w:rsidRPr="008F3EF8">
        <w:t>.</w:t>
      </w:r>
      <w:r>
        <w:t xml:space="preserve"> London: </w:t>
      </w:r>
      <w:r w:rsidRPr="008F3EF8">
        <w:t xml:space="preserve">IWA Publishing, for the World Health Organization, pp </w:t>
      </w:r>
      <w:r w:rsidRPr="00A22655">
        <w:t>167–190</w:t>
      </w:r>
      <w:r w:rsidRPr="008F3EF8">
        <w:t>.</w:t>
      </w:r>
      <w:r>
        <w:t xml:space="preserve"> Available at: </w:t>
      </w:r>
      <w:hyperlink r:id="rId55" w:history="1">
        <w:r w:rsidRPr="00A12F1C">
          <w:rPr>
            <w:rStyle w:val="Hyperlink"/>
          </w:rPr>
          <w:t>http://www.who.int/water_sanitation_health/diseases/zoonoses/en/</w:t>
        </w:r>
      </w:hyperlink>
    </w:p>
    <w:p w14:paraId="041E357D" w14:textId="77777777" w:rsidR="003741ED" w:rsidRPr="008F3EF8" w:rsidRDefault="003741ED" w:rsidP="001528E4">
      <w:pPr>
        <w:pStyle w:val="References"/>
      </w:pPr>
      <w:r w:rsidRPr="008F3EF8">
        <w:t>Reimann C</w:t>
      </w:r>
      <w:r>
        <w:t>,</w:t>
      </w:r>
      <w:r w:rsidRPr="008F3EF8">
        <w:t xml:space="preserve"> Banks </w:t>
      </w:r>
      <w:r>
        <w:t xml:space="preserve">D. </w:t>
      </w:r>
      <w:r w:rsidRPr="008F3EF8">
        <w:t>2004.</w:t>
      </w:r>
      <w:r>
        <w:t xml:space="preserve"> </w:t>
      </w:r>
      <w:r w:rsidRPr="008F3EF8">
        <w:t>Setting action levels for drinking water: are we protecting our health or our economy (or our backs</w:t>
      </w:r>
      <w:r>
        <w:t>!</w:t>
      </w:r>
      <w:r w:rsidRPr="008F3EF8">
        <w:t>)</w:t>
      </w:r>
      <w:r>
        <w:t xml:space="preserve">. </w:t>
      </w:r>
      <w:r w:rsidRPr="00324DF9">
        <w:rPr>
          <w:i/>
        </w:rPr>
        <w:t>Science of the Total Environment</w:t>
      </w:r>
      <w:r w:rsidRPr="008F3EF8">
        <w:t xml:space="preserve"> </w:t>
      </w:r>
      <w:r w:rsidRPr="00324DF9">
        <w:t>332</w:t>
      </w:r>
      <w:r>
        <w:t>:</w:t>
      </w:r>
      <w:r w:rsidRPr="008F3EF8">
        <w:t xml:space="preserve"> 12–21.</w:t>
      </w:r>
    </w:p>
    <w:p w14:paraId="041E357E" w14:textId="77777777" w:rsidR="003741ED" w:rsidRDefault="003741ED" w:rsidP="001528E4">
      <w:pPr>
        <w:pStyle w:val="References"/>
      </w:pPr>
      <w:r w:rsidRPr="00E66263">
        <w:t xml:space="preserve">Sapere Research. 2013. </w:t>
      </w:r>
      <w:r w:rsidRPr="001528E4">
        <w:rPr>
          <w:i/>
        </w:rPr>
        <w:fldChar w:fldCharType="begin"/>
      </w:r>
      <w:r w:rsidRPr="001528E4">
        <w:rPr>
          <w:i/>
        </w:rPr>
        <w:instrText xml:space="preserve"> DOCVARIABLE  rptTitle  \* MERGEFORMAT </w:instrText>
      </w:r>
      <w:r w:rsidRPr="001528E4">
        <w:rPr>
          <w:i/>
        </w:rPr>
        <w:fldChar w:fldCharType="separate"/>
      </w:r>
      <w:r w:rsidRPr="001528E4">
        <w:rPr>
          <w:i/>
        </w:rPr>
        <w:t xml:space="preserve">The 2012 </w:t>
      </w:r>
      <w:r w:rsidR="001528E4">
        <w:rPr>
          <w:i/>
        </w:rPr>
        <w:t>W</w:t>
      </w:r>
      <w:r w:rsidRPr="001528E4">
        <w:rPr>
          <w:i/>
        </w:rPr>
        <w:t xml:space="preserve">aterborne </w:t>
      </w:r>
      <w:r w:rsidR="001528E4">
        <w:rPr>
          <w:i/>
        </w:rPr>
        <w:t>D</w:t>
      </w:r>
      <w:r w:rsidRPr="001528E4">
        <w:rPr>
          <w:i/>
        </w:rPr>
        <w:t xml:space="preserve">isease </w:t>
      </w:r>
      <w:r w:rsidR="001528E4">
        <w:rPr>
          <w:i/>
        </w:rPr>
        <w:t>O</w:t>
      </w:r>
      <w:r w:rsidRPr="001528E4">
        <w:rPr>
          <w:i/>
        </w:rPr>
        <w:t xml:space="preserve">utbreak in a </w:t>
      </w:r>
      <w:r w:rsidR="001528E4">
        <w:rPr>
          <w:i/>
        </w:rPr>
        <w:t>S</w:t>
      </w:r>
      <w:r w:rsidRPr="001528E4">
        <w:rPr>
          <w:i/>
        </w:rPr>
        <w:t xml:space="preserve">mall </w:t>
      </w:r>
      <w:r w:rsidR="001528E4">
        <w:rPr>
          <w:i/>
        </w:rPr>
        <w:t>T</w:t>
      </w:r>
      <w:r w:rsidRPr="001528E4">
        <w:rPr>
          <w:i/>
        </w:rPr>
        <w:t>own in New</w:t>
      </w:r>
      <w:r w:rsidR="001528E4" w:rsidRPr="001528E4">
        <w:rPr>
          <w:i/>
        </w:rPr>
        <w:t> </w:t>
      </w:r>
      <w:r w:rsidRPr="001528E4">
        <w:rPr>
          <w:i/>
        </w:rPr>
        <w:t xml:space="preserve">Zealand: </w:t>
      </w:r>
      <w:r w:rsidR="001528E4">
        <w:rPr>
          <w:i/>
        </w:rPr>
        <w:t>A</w:t>
      </w:r>
      <w:r w:rsidRPr="001528E4">
        <w:rPr>
          <w:i/>
        </w:rPr>
        <w:t>n estimate of costs</w:t>
      </w:r>
      <w:r w:rsidRPr="001528E4">
        <w:rPr>
          <w:i/>
        </w:rPr>
        <w:fldChar w:fldCharType="end"/>
      </w:r>
      <w:r w:rsidRPr="001528E4">
        <w:rPr>
          <w:i/>
        </w:rPr>
        <w:t>.</w:t>
      </w:r>
      <w:r w:rsidRPr="00E66263">
        <w:t xml:space="preserve"> Report prepared by the Sapere Research Group for the Ministry of Health. 55 pp.</w:t>
      </w:r>
    </w:p>
    <w:p w14:paraId="041E357F" w14:textId="77777777" w:rsidR="003741ED" w:rsidRPr="00E66263" w:rsidRDefault="003741ED" w:rsidP="001528E4">
      <w:pPr>
        <w:pStyle w:val="References"/>
      </w:pPr>
      <w:r w:rsidRPr="00E66263">
        <w:t>Sapere Research. 201</w:t>
      </w:r>
      <w:r>
        <w:t>7</w:t>
      </w:r>
      <w:r w:rsidRPr="00E66263">
        <w:t>.</w:t>
      </w:r>
      <w:r>
        <w:t xml:space="preserve"> </w:t>
      </w:r>
      <w:r w:rsidRPr="001528E4">
        <w:rPr>
          <w:i/>
        </w:rPr>
        <w:t>The Economic Costs of the Havelock North August 2016 Waterborne Disease Outbreak</w:t>
      </w:r>
      <w:r w:rsidRPr="00560F10">
        <w:t xml:space="preserve">. </w:t>
      </w:r>
      <w:r w:rsidRPr="00E66263">
        <w:t xml:space="preserve">Report prepared by the Sapere Research Group for the Ministry of Health. </w:t>
      </w:r>
      <w:r>
        <w:t>68</w:t>
      </w:r>
      <w:r w:rsidRPr="00E66263">
        <w:t xml:space="preserve"> pp.</w:t>
      </w:r>
      <w:r>
        <w:t xml:space="preserve"> </w:t>
      </w:r>
      <w:hyperlink r:id="rId56" w:history="1">
        <w:r w:rsidRPr="004033BF">
          <w:rPr>
            <w:rStyle w:val="Hyperlink"/>
          </w:rPr>
          <w:t>https://www.health.govt.nz/publication/economic-costs-havelock-north-august-2016-waterborne-disease-outbreak</w:t>
        </w:r>
      </w:hyperlink>
    </w:p>
    <w:p w14:paraId="041E3580" w14:textId="77777777" w:rsidR="003741ED" w:rsidRPr="008F3EF8" w:rsidRDefault="003741ED" w:rsidP="001528E4">
      <w:pPr>
        <w:pStyle w:val="References"/>
      </w:pPr>
      <w:r w:rsidRPr="008F3EF8">
        <w:t>Savill MG, Hudson</w:t>
      </w:r>
      <w:r>
        <w:t xml:space="preserve"> JA</w:t>
      </w:r>
      <w:r w:rsidRPr="008F3EF8">
        <w:t>, Ball</w:t>
      </w:r>
      <w:r>
        <w:t xml:space="preserve"> A</w:t>
      </w:r>
      <w:r w:rsidRPr="008F3EF8">
        <w:t xml:space="preserve">, </w:t>
      </w:r>
      <w:r w:rsidR="004A00B0">
        <w:t>et al</w:t>
      </w:r>
      <w:r>
        <w:t>.</w:t>
      </w:r>
      <w:r w:rsidRPr="008F3EF8">
        <w:t xml:space="preserve"> 2001.</w:t>
      </w:r>
      <w:r>
        <w:t xml:space="preserve"> </w:t>
      </w:r>
      <w:r w:rsidRPr="008F3EF8">
        <w:t xml:space="preserve">Enumeration of </w:t>
      </w:r>
      <w:r w:rsidRPr="004E2F49">
        <w:rPr>
          <w:i/>
        </w:rPr>
        <w:t>Campylobacter</w:t>
      </w:r>
      <w:r w:rsidRPr="008F3EF8">
        <w:t xml:space="preserve"> in New</w:t>
      </w:r>
      <w:r w:rsidR="001528E4">
        <w:t> </w:t>
      </w:r>
      <w:r w:rsidRPr="008F3EF8">
        <w:t>Zealand recreational and drinking waters.</w:t>
      </w:r>
      <w:r>
        <w:t xml:space="preserve"> </w:t>
      </w:r>
      <w:r w:rsidRPr="00324DF9">
        <w:rPr>
          <w:i/>
        </w:rPr>
        <w:t>Journal of Applied Microbiology</w:t>
      </w:r>
      <w:r w:rsidR="001528E4">
        <w:br/>
      </w:r>
      <w:r w:rsidRPr="00324DF9">
        <w:t>91</w:t>
      </w:r>
      <w:r>
        <w:t>:</w:t>
      </w:r>
      <w:r w:rsidRPr="008F3EF8">
        <w:t xml:space="preserve"> 38–46.</w:t>
      </w:r>
    </w:p>
    <w:p w14:paraId="041E3581" w14:textId="77777777" w:rsidR="003741ED" w:rsidRPr="008F3EF8" w:rsidRDefault="003741ED" w:rsidP="001528E4">
      <w:pPr>
        <w:pStyle w:val="References"/>
      </w:pPr>
      <w:r w:rsidRPr="008F3EF8">
        <w:t>Schuster CJ, Aramini</w:t>
      </w:r>
      <w:r>
        <w:t xml:space="preserve"> JJ</w:t>
      </w:r>
      <w:r w:rsidRPr="008F3EF8">
        <w:t>, Ellis</w:t>
      </w:r>
      <w:r>
        <w:t xml:space="preserve"> AG</w:t>
      </w:r>
      <w:r w:rsidRPr="008F3EF8">
        <w:t xml:space="preserve">, </w:t>
      </w:r>
      <w:r w:rsidR="004A00B0">
        <w:t>et al</w:t>
      </w:r>
      <w:r>
        <w:t>.</w:t>
      </w:r>
      <w:r w:rsidRPr="008F3EF8">
        <w:t xml:space="preserve"> 2005.</w:t>
      </w:r>
      <w:r>
        <w:t xml:space="preserve"> </w:t>
      </w:r>
      <w:r w:rsidRPr="008F3EF8">
        <w:t>Infectious disease outbreaks related to drinking water in Canada 1974</w:t>
      </w:r>
      <w:r>
        <w:t>–</w:t>
      </w:r>
      <w:r w:rsidRPr="008F3EF8">
        <w:t>2001.</w:t>
      </w:r>
      <w:r>
        <w:t xml:space="preserve"> </w:t>
      </w:r>
      <w:r w:rsidRPr="00324DF9">
        <w:rPr>
          <w:i/>
        </w:rPr>
        <w:t>Revue Canadienne de Santé Publique</w:t>
      </w:r>
      <w:r w:rsidR="001528E4">
        <w:br/>
      </w:r>
      <w:r w:rsidRPr="00324DF9">
        <w:t>96</w:t>
      </w:r>
      <w:r w:rsidRPr="008F3EF8">
        <w:t>(4)</w:t>
      </w:r>
      <w:r>
        <w:t>:</w:t>
      </w:r>
      <w:r w:rsidRPr="008F3EF8">
        <w:t xml:space="preserve"> 254</w:t>
      </w:r>
      <w:r>
        <w:t>–</w:t>
      </w:r>
      <w:r w:rsidRPr="008F3EF8">
        <w:t>8.</w:t>
      </w:r>
    </w:p>
    <w:p w14:paraId="041E3582" w14:textId="77777777" w:rsidR="003741ED" w:rsidRPr="008F3EF8" w:rsidRDefault="003741ED" w:rsidP="001528E4">
      <w:pPr>
        <w:pStyle w:val="References"/>
      </w:pPr>
      <w:r w:rsidRPr="008F3EF8">
        <w:t>Shaw CP. 1993.</w:t>
      </w:r>
      <w:r>
        <w:t xml:space="preserve"> </w:t>
      </w:r>
      <w:r w:rsidRPr="00324DF9">
        <w:rPr>
          <w:i/>
        </w:rPr>
        <w:t>The New Zealand Drinking-water Standards – a preview</w:t>
      </w:r>
      <w:r w:rsidRPr="008F3EF8">
        <w:t>.</w:t>
      </w:r>
      <w:r>
        <w:t xml:space="preserve"> </w:t>
      </w:r>
      <w:r w:rsidRPr="008F3EF8">
        <w:t>N</w:t>
      </w:r>
      <w:r>
        <w:t xml:space="preserve">ew </w:t>
      </w:r>
      <w:r w:rsidRPr="008F3EF8">
        <w:t>Z</w:t>
      </w:r>
      <w:r>
        <w:t>ealand</w:t>
      </w:r>
      <w:r w:rsidRPr="008F3EF8">
        <w:t xml:space="preserve"> Water and Wastes Association Annual Conference, September.</w:t>
      </w:r>
    </w:p>
    <w:p w14:paraId="041E3583" w14:textId="77777777" w:rsidR="003741ED" w:rsidRPr="008F3EF8" w:rsidRDefault="003741ED" w:rsidP="001528E4">
      <w:pPr>
        <w:pStyle w:val="References"/>
      </w:pPr>
      <w:r w:rsidRPr="008F3EF8">
        <w:t>Simmons G</w:t>
      </w:r>
      <w:r>
        <w:t>,</w:t>
      </w:r>
      <w:r w:rsidRPr="008F3EF8">
        <w:t xml:space="preserve"> Hope</w:t>
      </w:r>
      <w:r>
        <w:t xml:space="preserve"> V</w:t>
      </w:r>
      <w:r w:rsidRPr="008F3EF8">
        <w:t>, Lewis</w:t>
      </w:r>
      <w:r>
        <w:t xml:space="preserve"> G, </w:t>
      </w:r>
      <w:r w:rsidR="004A00B0">
        <w:t>et al</w:t>
      </w:r>
      <w:r>
        <w:t>.</w:t>
      </w:r>
      <w:r w:rsidRPr="008F3EF8">
        <w:t xml:space="preserve"> 2001.</w:t>
      </w:r>
      <w:r>
        <w:t xml:space="preserve"> </w:t>
      </w:r>
      <w:r w:rsidRPr="008F3EF8">
        <w:t>Contamination of potable roof-collected rainwater in Auckland, New Zealand.</w:t>
      </w:r>
      <w:r>
        <w:t xml:space="preserve"> </w:t>
      </w:r>
      <w:r w:rsidRPr="00324DF9">
        <w:rPr>
          <w:i/>
        </w:rPr>
        <w:t>Water Research</w:t>
      </w:r>
      <w:r w:rsidRPr="008F3EF8">
        <w:t xml:space="preserve"> </w:t>
      </w:r>
      <w:r w:rsidRPr="00324DF9">
        <w:t>35</w:t>
      </w:r>
      <w:r w:rsidRPr="008F3EF8">
        <w:t>(6)</w:t>
      </w:r>
      <w:r>
        <w:t>:</w:t>
      </w:r>
      <w:r w:rsidRPr="008F3EF8">
        <w:t xml:space="preserve"> 1518–24.</w:t>
      </w:r>
    </w:p>
    <w:p w14:paraId="041E3584" w14:textId="77777777" w:rsidR="003741ED" w:rsidRPr="008F3EF8" w:rsidRDefault="003741ED" w:rsidP="001528E4">
      <w:pPr>
        <w:pStyle w:val="References"/>
      </w:pPr>
      <w:r w:rsidRPr="008F3EF8">
        <w:t>Sneyd E</w:t>
      </w:r>
      <w:r>
        <w:t>,</w:t>
      </w:r>
      <w:r w:rsidRPr="008F3EF8">
        <w:t xml:space="preserve"> Baker </w:t>
      </w:r>
      <w:r>
        <w:t xml:space="preserve">M. </w:t>
      </w:r>
      <w:r w:rsidRPr="008F3EF8">
        <w:t>2003.</w:t>
      </w:r>
      <w:r w:rsidRPr="00324DF9">
        <w:rPr>
          <w:i/>
        </w:rPr>
        <w:t xml:space="preserve"> Infectious </w:t>
      </w:r>
      <w:r w:rsidR="001528E4">
        <w:rPr>
          <w:i/>
        </w:rPr>
        <w:t>D</w:t>
      </w:r>
      <w:r w:rsidRPr="00324DF9">
        <w:rPr>
          <w:i/>
        </w:rPr>
        <w:t>iseases in New Zealand: 2002 annual surveillance summary</w:t>
      </w:r>
      <w:r w:rsidRPr="008F3EF8">
        <w:t>.</w:t>
      </w:r>
      <w:r>
        <w:t xml:space="preserve"> </w:t>
      </w:r>
      <w:r w:rsidRPr="008F3EF8">
        <w:t>ESR Client Report FW 0332, for New Zealand Ministry of Health.</w:t>
      </w:r>
    </w:p>
    <w:p w14:paraId="041E3585" w14:textId="77777777" w:rsidR="003741ED" w:rsidRPr="008F3EF8" w:rsidRDefault="003741ED" w:rsidP="001528E4">
      <w:pPr>
        <w:pStyle w:val="References"/>
      </w:pPr>
      <w:r w:rsidRPr="008F3EF8">
        <w:t>Stehr-Green JK, Nicholls</w:t>
      </w:r>
      <w:r>
        <w:t xml:space="preserve"> C</w:t>
      </w:r>
      <w:r w:rsidRPr="008F3EF8">
        <w:t>, McEwan</w:t>
      </w:r>
      <w:r>
        <w:t xml:space="preserve"> S</w:t>
      </w:r>
      <w:r w:rsidRPr="008F3EF8">
        <w:t xml:space="preserve">, </w:t>
      </w:r>
      <w:r w:rsidR="004A00B0">
        <w:t>et al</w:t>
      </w:r>
      <w:r>
        <w:t>.</w:t>
      </w:r>
      <w:r w:rsidRPr="008F3EF8">
        <w:t xml:space="preserve"> 1991.</w:t>
      </w:r>
      <w:r>
        <w:t xml:space="preserve"> </w:t>
      </w:r>
      <w:r w:rsidRPr="008F3EF8">
        <w:t xml:space="preserve">Waterborne outbreak of </w:t>
      </w:r>
      <w:r w:rsidRPr="004E2F49">
        <w:rPr>
          <w:i/>
        </w:rPr>
        <w:t>Campylobacter jejuni</w:t>
      </w:r>
      <w:r w:rsidRPr="008F3EF8">
        <w:t xml:space="preserve"> in Christchurch: the importance of a combined epidemiologic and microbiologic investigation.</w:t>
      </w:r>
      <w:r>
        <w:t xml:space="preserve"> </w:t>
      </w:r>
      <w:r w:rsidRPr="00324DF9">
        <w:rPr>
          <w:i/>
        </w:rPr>
        <w:t>New Zealand Medical Journal</w:t>
      </w:r>
      <w:r w:rsidRPr="008F3EF8">
        <w:t xml:space="preserve"> </w:t>
      </w:r>
      <w:r w:rsidRPr="00324DF9">
        <w:t>104</w:t>
      </w:r>
      <w:r>
        <w:t>:</w:t>
      </w:r>
      <w:r w:rsidRPr="008F3EF8">
        <w:t xml:space="preserve"> 356–8.</w:t>
      </w:r>
    </w:p>
    <w:p w14:paraId="041E3586" w14:textId="77777777" w:rsidR="003741ED" w:rsidRPr="008F3EF8" w:rsidRDefault="003741ED" w:rsidP="001528E4">
      <w:pPr>
        <w:pStyle w:val="References"/>
      </w:pPr>
      <w:r w:rsidRPr="008F3EF8">
        <w:t>Thorstensen AL. 1985.</w:t>
      </w:r>
      <w:r>
        <w:t xml:space="preserve"> </w:t>
      </w:r>
      <w:r w:rsidRPr="00324DF9">
        <w:rPr>
          <w:i/>
        </w:rPr>
        <w:t>What happened at Queenstown – an object lesson for water supply authorities</w:t>
      </w:r>
      <w:r w:rsidRPr="008F3EF8">
        <w:t>.</w:t>
      </w:r>
      <w:r>
        <w:t xml:space="preserve"> </w:t>
      </w:r>
      <w:r w:rsidRPr="008F3EF8">
        <w:t>New Zealand Local Government, February, p 455.</w:t>
      </w:r>
    </w:p>
    <w:p w14:paraId="041E3587" w14:textId="77777777" w:rsidR="003741ED" w:rsidRPr="008F3EF8" w:rsidRDefault="003741ED" w:rsidP="001528E4">
      <w:pPr>
        <w:pStyle w:val="References"/>
      </w:pPr>
      <w:r w:rsidRPr="008F3EF8">
        <w:t>Till DG</w:t>
      </w:r>
      <w:r>
        <w:t xml:space="preserve">, </w:t>
      </w:r>
      <w:r w:rsidRPr="008F3EF8">
        <w:t xml:space="preserve">McBride </w:t>
      </w:r>
      <w:r>
        <w:t xml:space="preserve">GB. </w:t>
      </w:r>
      <w:r w:rsidRPr="008F3EF8">
        <w:t>2004.</w:t>
      </w:r>
      <w:r>
        <w:t xml:space="preserve"> </w:t>
      </w:r>
      <w:r w:rsidRPr="008F3EF8">
        <w:t xml:space="preserve">Potential public health risk of </w:t>
      </w:r>
      <w:r w:rsidRPr="004E2F49">
        <w:rPr>
          <w:i/>
        </w:rPr>
        <w:t>Campylobacter</w:t>
      </w:r>
      <w:r w:rsidRPr="008F3EF8">
        <w:t xml:space="preserve"> and other zoonotic waterborne infections in New Zealand.</w:t>
      </w:r>
      <w:r>
        <w:t xml:space="preserve"> </w:t>
      </w:r>
      <w:r w:rsidRPr="008F3EF8">
        <w:t xml:space="preserve">Chapter 12 in: </w:t>
      </w:r>
      <w:r>
        <w:t>JA </w:t>
      </w:r>
      <w:r w:rsidRPr="008F3EF8">
        <w:t>Cotruvo, A</w:t>
      </w:r>
      <w:r>
        <w:t> </w:t>
      </w:r>
      <w:r w:rsidRPr="008F3EF8">
        <w:t>Dufour, G</w:t>
      </w:r>
      <w:r>
        <w:t> </w:t>
      </w:r>
      <w:r w:rsidRPr="008F3EF8">
        <w:t xml:space="preserve">Rees, </w:t>
      </w:r>
      <w:r w:rsidR="004A00B0">
        <w:t>et al</w:t>
      </w:r>
      <w:r w:rsidRPr="008F3EF8">
        <w:t>.</w:t>
      </w:r>
      <w:r>
        <w:t xml:space="preserve"> </w:t>
      </w:r>
      <w:r w:rsidRPr="004E2F49">
        <w:rPr>
          <w:i/>
        </w:rPr>
        <w:t>Waterborne Zoonoses: Identification, Causes and Control</w:t>
      </w:r>
      <w:r>
        <w:t>. London:</w:t>
      </w:r>
      <w:r w:rsidRPr="008F3EF8">
        <w:t xml:space="preserve"> IWA </w:t>
      </w:r>
      <w:r>
        <w:t>P</w:t>
      </w:r>
      <w:r w:rsidRPr="008F3EF8">
        <w:t>ublishing</w:t>
      </w:r>
      <w:r>
        <w:t>,</w:t>
      </w:r>
      <w:r w:rsidRPr="008F3EF8">
        <w:t xml:space="preserve"> for the World Health Organization.</w:t>
      </w:r>
      <w:r>
        <w:t xml:space="preserve"> Available at: </w:t>
      </w:r>
      <w:hyperlink r:id="rId57" w:history="1">
        <w:r w:rsidRPr="00A12F1C">
          <w:rPr>
            <w:rStyle w:val="Hyperlink"/>
          </w:rPr>
          <w:t>http://www.who.int/water_sanitation_health/diseases/zoonoses/en/</w:t>
        </w:r>
      </w:hyperlink>
    </w:p>
    <w:p w14:paraId="041E3588" w14:textId="77777777" w:rsidR="003741ED" w:rsidRPr="008F3EF8" w:rsidRDefault="003741ED" w:rsidP="001528E4">
      <w:pPr>
        <w:pStyle w:val="References"/>
      </w:pPr>
      <w:r w:rsidRPr="008F3EF8">
        <w:t>Taylor MEU. 1993a.</w:t>
      </w:r>
      <w:r>
        <w:t xml:space="preserve"> </w:t>
      </w:r>
      <w:r w:rsidRPr="004D49AD">
        <w:rPr>
          <w:i/>
        </w:rPr>
        <w:t xml:space="preserve">Review of the </w:t>
      </w:r>
      <w:r>
        <w:rPr>
          <w:i/>
        </w:rPr>
        <w:t>M</w:t>
      </w:r>
      <w:r w:rsidRPr="004D49AD">
        <w:rPr>
          <w:i/>
        </w:rPr>
        <w:t xml:space="preserve">anagement of </w:t>
      </w:r>
      <w:r>
        <w:rPr>
          <w:i/>
        </w:rPr>
        <w:t>D</w:t>
      </w:r>
      <w:r w:rsidRPr="004D49AD">
        <w:rPr>
          <w:i/>
        </w:rPr>
        <w:t xml:space="preserve">rinking-water </w:t>
      </w:r>
      <w:r>
        <w:rPr>
          <w:i/>
        </w:rPr>
        <w:t>Q</w:t>
      </w:r>
      <w:r w:rsidRPr="004D49AD">
        <w:rPr>
          <w:i/>
        </w:rPr>
        <w:t>uality in New</w:t>
      </w:r>
      <w:r w:rsidR="001528E4">
        <w:rPr>
          <w:i/>
        </w:rPr>
        <w:t> </w:t>
      </w:r>
      <w:r w:rsidRPr="004D49AD">
        <w:rPr>
          <w:i/>
        </w:rPr>
        <w:t>Zealand</w:t>
      </w:r>
      <w:r w:rsidRPr="008F3EF8">
        <w:t>.</w:t>
      </w:r>
      <w:r>
        <w:t xml:space="preserve"> </w:t>
      </w:r>
      <w:r w:rsidRPr="008F3EF8">
        <w:t>N</w:t>
      </w:r>
      <w:r>
        <w:t>ew </w:t>
      </w:r>
      <w:r w:rsidRPr="008F3EF8">
        <w:t>Z</w:t>
      </w:r>
      <w:r>
        <w:t>ealand</w:t>
      </w:r>
      <w:r w:rsidRPr="008F3EF8">
        <w:t xml:space="preserve"> Water and Wastes Association Annual Conference, September.</w:t>
      </w:r>
    </w:p>
    <w:p w14:paraId="041E3589" w14:textId="77777777" w:rsidR="003741ED" w:rsidRPr="008F3EF8" w:rsidRDefault="003741ED" w:rsidP="001528E4">
      <w:pPr>
        <w:pStyle w:val="References"/>
      </w:pPr>
      <w:r w:rsidRPr="008F3EF8">
        <w:t>Taylor MEU. 1993b.</w:t>
      </w:r>
      <w:r>
        <w:t xml:space="preserve"> </w:t>
      </w:r>
      <w:r w:rsidRPr="004D49AD">
        <w:rPr>
          <w:i/>
        </w:rPr>
        <w:t xml:space="preserve">Drinking-water for the 21st </w:t>
      </w:r>
      <w:r>
        <w:rPr>
          <w:i/>
        </w:rPr>
        <w:t>C</w:t>
      </w:r>
      <w:r w:rsidRPr="004D49AD">
        <w:rPr>
          <w:i/>
        </w:rPr>
        <w:t>entury</w:t>
      </w:r>
      <w:r w:rsidRPr="008F3EF8">
        <w:t>.</w:t>
      </w:r>
      <w:r>
        <w:t xml:space="preserve"> </w:t>
      </w:r>
      <w:r w:rsidRPr="008F3EF8">
        <w:t>The second annual AIC Water Resources Industry Conference, Auckland, July.</w:t>
      </w:r>
    </w:p>
    <w:p w14:paraId="041E358A" w14:textId="77777777" w:rsidR="003741ED" w:rsidRPr="008F3EF8" w:rsidRDefault="003741ED" w:rsidP="001528E4">
      <w:pPr>
        <w:pStyle w:val="References"/>
      </w:pPr>
      <w:r w:rsidRPr="008F3EF8">
        <w:t>Tay</w:t>
      </w:r>
      <w:r>
        <w:t>lor MEU. 2000. Drinking-</w:t>
      </w:r>
      <w:r w:rsidRPr="008F3EF8">
        <w:t>water management in New Zealand.</w:t>
      </w:r>
      <w:r>
        <w:t xml:space="preserve"> </w:t>
      </w:r>
      <w:r w:rsidRPr="004D49AD">
        <w:rPr>
          <w:i/>
        </w:rPr>
        <w:t>Water</w:t>
      </w:r>
      <w:r w:rsidRPr="008F3EF8">
        <w:t xml:space="preserve"> (</w:t>
      </w:r>
      <w:r w:rsidRPr="004D49AD">
        <w:rPr>
          <w:i/>
        </w:rPr>
        <w:t>J Australian Water and Waste Ass</w:t>
      </w:r>
      <w:r>
        <w:rPr>
          <w:i/>
        </w:rPr>
        <w:t>ociatio</w:t>
      </w:r>
      <w:r w:rsidRPr="004D49AD">
        <w:rPr>
          <w:i/>
        </w:rPr>
        <w:t>n</w:t>
      </w:r>
      <w:r w:rsidRPr="008F3EF8">
        <w:t>), November issue.</w:t>
      </w:r>
    </w:p>
    <w:p w14:paraId="041E358B" w14:textId="77777777" w:rsidR="003741ED" w:rsidRPr="008F3EF8" w:rsidRDefault="003741ED" w:rsidP="001528E4">
      <w:pPr>
        <w:pStyle w:val="References"/>
      </w:pPr>
      <w:r w:rsidRPr="008F3EF8">
        <w:t>Taylor M</w:t>
      </w:r>
      <w:r>
        <w:t>,</w:t>
      </w:r>
      <w:r w:rsidRPr="008F3EF8">
        <w:t xml:space="preserve"> Ball </w:t>
      </w:r>
      <w:r>
        <w:t xml:space="preserve">A. </w:t>
      </w:r>
      <w:r w:rsidRPr="008F3EF8">
        <w:t>2004.</w:t>
      </w:r>
      <w:r>
        <w:t xml:space="preserve"> </w:t>
      </w:r>
      <w:r w:rsidRPr="008F3EF8">
        <w:t>Why do we need safe water?</w:t>
      </w:r>
      <w:r>
        <w:t xml:space="preserve"> </w:t>
      </w:r>
      <w:r w:rsidRPr="008F3EF8">
        <w:t>Unpublished paper presented to the N</w:t>
      </w:r>
      <w:r>
        <w:t xml:space="preserve">ew </w:t>
      </w:r>
      <w:r w:rsidRPr="008F3EF8">
        <w:t>Z</w:t>
      </w:r>
      <w:r>
        <w:t>ealand</w:t>
      </w:r>
      <w:r w:rsidRPr="008F3EF8">
        <w:t xml:space="preserve"> Environment Summit, Wellington, 22 March 2004.</w:t>
      </w:r>
    </w:p>
    <w:p w14:paraId="041E358C" w14:textId="77777777" w:rsidR="003741ED" w:rsidRDefault="003741ED" w:rsidP="001528E4">
      <w:pPr>
        <w:pStyle w:val="References"/>
        <w:rPr>
          <w:rStyle w:val="Hyperlink"/>
        </w:rPr>
      </w:pPr>
      <w:r>
        <w:t xml:space="preserve">USEPA. 2003. </w:t>
      </w:r>
      <w:r w:rsidRPr="004D49AD">
        <w:rPr>
          <w:i/>
        </w:rPr>
        <w:t>Small Drinking Water Systems Handbook</w:t>
      </w:r>
      <w:r>
        <w:rPr>
          <w:i/>
        </w:rPr>
        <w:t>:</w:t>
      </w:r>
      <w:r w:rsidRPr="004D49AD">
        <w:rPr>
          <w:i/>
        </w:rPr>
        <w:t xml:space="preserve"> A </w:t>
      </w:r>
      <w:r>
        <w:rPr>
          <w:i/>
        </w:rPr>
        <w:t>g</w:t>
      </w:r>
      <w:r w:rsidRPr="004D49AD">
        <w:rPr>
          <w:i/>
        </w:rPr>
        <w:t xml:space="preserve">uide to </w:t>
      </w:r>
      <w:r>
        <w:rPr>
          <w:i/>
        </w:rPr>
        <w:t>‘p</w:t>
      </w:r>
      <w:r w:rsidRPr="004D49AD">
        <w:rPr>
          <w:i/>
        </w:rPr>
        <w:t>ackaged</w:t>
      </w:r>
      <w:r>
        <w:rPr>
          <w:i/>
        </w:rPr>
        <w:t>’</w:t>
      </w:r>
      <w:r w:rsidRPr="004D49AD">
        <w:rPr>
          <w:i/>
        </w:rPr>
        <w:t xml:space="preserve"> </w:t>
      </w:r>
      <w:r>
        <w:rPr>
          <w:i/>
        </w:rPr>
        <w:t>f</w:t>
      </w:r>
      <w:r w:rsidRPr="004D49AD">
        <w:rPr>
          <w:i/>
        </w:rPr>
        <w:t xml:space="preserve">iltration and </w:t>
      </w:r>
      <w:r>
        <w:rPr>
          <w:i/>
        </w:rPr>
        <w:t>d</w:t>
      </w:r>
      <w:r w:rsidRPr="004D49AD">
        <w:rPr>
          <w:i/>
        </w:rPr>
        <w:t xml:space="preserve">isinfection </w:t>
      </w:r>
      <w:r>
        <w:rPr>
          <w:i/>
        </w:rPr>
        <w:t>t</w:t>
      </w:r>
      <w:r w:rsidRPr="004D49AD">
        <w:rPr>
          <w:i/>
        </w:rPr>
        <w:t xml:space="preserve">echnologies with </w:t>
      </w:r>
      <w:r>
        <w:rPr>
          <w:i/>
        </w:rPr>
        <w:t>r</w:t>
      </w:r>
      <w:r w:rsidRPr="004D49AD">
        <w:rPr>
          <w:i/>
        </w:rPr>
        <w:t xml:space="preserve">emote </w:t>
      </w:r>
      <w:r>
        <w:rPr>
          <w:i/>
        </w:rPr>
        <w:t>m</w:t>
      </w:r>
      <w:r w:rsidRPr="004D49AD">
        <w:rPr>
          <w:i/>
        </w:rPr>
        <w:t xml:space="preserve">onitoring and </w:t>
      </w:r>
      <w:r>
        <w:rPr>
          <w:i/>
        </w:rPr>
        <w:t>c</w:t>
      </w:r>
      <w:r w:rsidRPr="004D49AD">
        <w:rPr>
          <w:i/>
        </w:rPr>
        <w:t xml:space="preserve">ontrol </w:t>
      </w:r>
      <w:r>
        <w:rPr>
          <w:i/>
        </w:rPr>
        <w:t>t</w:t>
      </w:r>
      <w:r w:rsidRPr="004D49AD">
        <w:rPr>
          <w:i/>
        </w:rPr>
        <w:t>ools</w:t>
      </w:r>
      <w:r>
        <w:t xml:space="preserve">. EPA/600/R-03/041. Office of Research and Development. Water Supply and Water Resources Division, United States Environmental Protection Agency. 73 pp. </w:t>
      </w:r>
      <w:hyperlink r:id="rId58" w:history="1">
        <w:r w:rsidRPr="004C28B9">
          <w:rPr>
            <w:rStyle w:val="Hyperlink"/>
          </w:rPr>
          <w:t>http://www.epa.gov/nrmrl/pubs/600r03041/600r03041.htm</w:t>
        </w:r>
      </w:hyperlink>
      <w:r>
        <w:t xml:space="preserve"> now go to: </w:t>
      </w:r>
      <w:hyperlink r:id="rId59" w:history="1">
        <w:r w:rsidRPr="00BF4AC5">
          <w:rPr>
            <w:rStyle w:val="Hyperlink"/>
          </w:rPr>
          <w:t>http://nepis.epa.gov/Exe/ZyNET.exe/100046K6.TXT?ZyActionD=ZyDocument&amp;Client=EPA&amp;Index=2000+Thru+2005&amp;Docs=&amp;Query=&amp;Time=&amp;EndTime=&amp;SearchMethod=1&amp;TocRestrict=n&amp;Toc=&amp;TocEntry=&amp;QField=&amp;QFieldYear=&amp;QFieldMonth=&amp;QFieldDay=&amp;IntQFieldOp=0&amp;ExtQFieldOp=0&amp;XmlQuery=&amp;File=D%3A%5Czyfiles%5CIndex%20Data%5C00thru05%5CTxt%5C00000006%5C100046K6.txt&amp;User=ANONYMOUS&amp;Password=anonymous&amp;SortMethod=h%7C-&amp;MaximumDocuments=1&amp;FuzzyDegree=0&amp;ImageQuality=r75g8/r75g8/x150y150g16/i425&amp;Display=p%7Cf&amp;DefSeekPage=x&amp;SearchBack=ZyActionL&amp;Back=ZyActionS&amp;BackDesc=Results%20page&amp;MaximumPages=1&amp;ZyEntry=1&amp;SeekPage=x&amp;ZyPURL</w:t>
        </w:r>
      </w:hyperlink>
    </w:p>
    <w:p w14:paraId="041E358D" w14:textId="77777777" w:rsidR="003741ED" w:rsidRPr="00740FDB" w:rsidRDefault="003741ED" w:rsidP="001528E4">
      <w:pPr>
        <w:pStyle w:val="References"/>
      </w:pPr>
      <w:r w:rsidRPr="001528E4">
        <w:t xml:space="preserve">Victoria State Govt. 2015. </w:t>
      </w:r>
      <w:r w:rsidRPr="001528E4">
        <w:rPr>
          <w:i/>
        </w:rPr>
        <w:t>Fire Retardants and Health</w:t>
      </w:r>
      <w:r w:rsidRPr="001528E4">
        <w:t xml:space="preserve">. </w:t>
      </w:r>
      <w:hyperlink r:id="rId60" w:history="1">
        <w:r w:rsidRPr="00CC00DC">
          <w:rPr>
            <w:rStyle w:val="Hyperlink"/>
            <w:rFonts w:cs="Arial"/>
            <w:lang w:val="en" w:eastAsia="en-NZ"/>
          </w:rPr>
          <w:t>https://www2.health.vic.gov.au/public-health/environmental-health/environmental-health-in-the-community/fire-retardants-and-health</w:t>
        </w:r>
      </w:hyperlink>
    </w:p>
    <w:p w14:paraId="041E358E" w14:textId="77777777" w:rsidR="003741ED" w:rsidRPr="008F3EF8" w:rsidRDefault="003741ED" w:rsidP="001528E4">
      <w:pPr>
        <w:pStyle w:val="References"/>
      </w:pPr>
      <w:r w:rsidRPr="008F3EF8">
        <w:t>Wheeler JG, Sethi</w:t>
      </w:r>
      <w:r>
        <w:t xml:space="preserve"> D</w:t>
      </w:r>
      <w:r w:rsidRPr="008F3EF8">
        <w:t>, Cowden</w:t>
      </w:r>
      <w:r>
        <w:t xml:space="preserve"> JM</w:t>
      </w:r>
      <w:r w:rsidRPr="008F3EF8">
        <w:t xml:space="preserve">, </w:t>
      </w:r>
      <w:r w:rsidR="004A00B0">
        <w:t>et al</w:t>
      </w:r>
      <w:r>
        <w:t>.</w:t>
      </w:r>
      <w:r w:rsidRPr="008F3EF8">
        <w:t xml:space="preserve"> 1999.</w:t>
      </w:r>
      <w:r>
        <w:t xml:space="preserve"> </w:t>
      </w:r>
      <w:r w:rsidRPr="008F3EF8">
        <w:t>Study of infectious intestinal disease in England: rates in the community, presenting to general practice, and reported to national surveillance.</w:t>
      </w:r>
      <w:r>
        <w:t xml:space="preserve"> </w:t>
      </w:r>
      <w:r w:rsidRPr="004D49AD">
        <w:rPr>
          <w:i/>
        </w:rPr>
        <w:t>British Medical Journal</w:t>
      </w:r>
      <w:r w:rsidRPr="008F3EF8">
        <w:t xml:space="preserve"> </w:t>
      </w:r>
      <w:r w:rsidRPr="004D49AD">
        <w:t>318</w:t>
      </w:r>
      <w:r w:rsidRPr="008F3EF8">
        <w:t>(7190)</w:t>
      </w:r>
      <w:r>
        <w:t xml:space="preserve">: </w:t>
      </w:r>
      <w:r w:rsidRPr="008F3EF8">
        <w:t>1046–50.</w:t>
      </w:r>
    </w:p>
    <w:p w14:paraId="041E358F" w14:textId="77777777" w:rsidR="003741ED" w:rsidRPr="00E91AE1" w:rsidRDefault="003741ED" w:rsidP="001528E4">
      <w:pPr>
        <w:pStyle w:val="References"/>
      </w:pPr>
      <w:r w:rsidRPr="00E91AE1">
        <w:t>WHO</w:t>
      </w:r>
      <w:r>
        <w:t>.</w:t>
      </w:r>
      <w:r w:rsidRPr="00E91AE1">
        <w:t xml:space="preserve"> 2004.</w:t>
      </w:r>
      <w:r>
        <w:t xml:space="preserve"> </w:t>
      </w:r>
      <w:r w:rsidRPr="00E91AE1">
        <w:rPr>
          <w:i/>
          <w:iCs/>
        </w:rPr>
        <w:t xml:space="preserve">Guidelines for Drinking-water Quality </w:t>
      </w:r>
      <w:r w:rsidRPr="00E91AE1">
        <w:t xml:space="preserve">(3rd </w:t>
      </w:r>
      <w:r>
        <w:t>e</w:t>
      </w:r>
      <w:r w:rsidRPr="00E91AE1">
        <w:t>d</w:t>
      </w:r>
      <w:r>
        <w:t>ition</w:t>
      </w:r>
      <w:r w:rsidRPr="00E91AE1">
        <w:t>).</w:t>
      </w:r>
      <w:r>
        <w:t xml:space="preserve"> </w:t>
      </w:r>
      <w:r w:rsidRPr="00E91AE1">
        <w:t>Geneva: World Health Organization.</w:t>
      </w:r>
      <w:r>
        <w:t xml:space="preserve"> </w:t>
      </w:r>
      <w:r w:rsidRPr="00E91AE1">
        <w:t xml:space="preserve">Available at: </w:t>
      </w:r>
      <w:hyperlink r:id="rId61" w:history="1">
        <w:r w:rsidRPr="00E91AE1">
          <w:rPr>
            <w:rStyle w:val="Hyperlink"/>
          </w:rPr>
          <w:t>www.who.int/water_sanitation_health/dwq/gdwq3/en/print.html</w:t>
        </w:r>
      </w:hyperlink>
      <w:r w:rsidRPr="00E91AE1">
        <w:t xml:space="preserve"> see also the addenda</w:t>
      </w:r>
      <w:r>
        <w:t>.</w:t>
      </w:r>
    </w:p>
    <w:p w14:paraId="041E3590" w14:textId="77777777" w:rsidR="003741ED" w:rsidRPr="00E82876" w:rsidRDefault="003741ED" w:rsidP="001528E4">
      <w:pPr>
        <w:pStyle w:val="References"/>
      </w:pPr>
      <w:r w:rsidRPr="00461B3E">
        <w:t>WHO</w:t>
      </w:r>
      <w:r>
        <w:t>.</w:t>
      </w:r>
      <w:r w:rsidRPr="00461B3E">
        <w:t xml:space="preserve"> 2005</w:t>
      </w:r>
      <w:r>
        <w:t xml:space="preserve">. </w:t>
      </w:r>
      <w:r w:rsidRPr="00E82876">
        <w:rPr>
          <w:i/>
        </w:rPr>
        <w:t>International Health Regulations (</w:t>
      </w:r>
      <w:r>
        <w:rPr>
          <w:i/>
        </w:rPr>
        <w:t>IHR</w:t>
      </w:r>
      <w:r w:rsidRPr="00E82876">
        <w:rPr>
          <w:i/>
        </w:rPr>
        <w:t>)</w:t>
      </w:r>
      <w:r w:rsidRPr="00E82876">
        <w:t>.</w:t>
      </w:r>
      <w:r>
        <w:t xml:space="preserve"> </w:t>
      </w:r>
      <w:r w:rsidRPr="00461B3E">
        <w:t>Geneva</w:t>
      </w:r>
      <w:r>
        <w:t>:</w:t>
      </w:r>
      <w:r w:rsidRPr="00461B3E">
        <w:t xml:space="preserve"> World Health Organization.</w:t>
      </w:r>
      <w:r>
        <w:t xml:space="preserve"> 82</w:t>
      </w:r>
      <w:r w:rsidR="001528E4">
        <w:t> </w:t>
      </w:r>
      <w:r>
        <w:t xml:space="preserve">pp. </w:t>
      </w:r>
      <w:hyperlink r:id="rId62" w:history="1">
        <w:r w:rsidRPr="00E82876">
          <w:rPr>
            <w:rStyle w:val="Hyperlink"/>
          </w:rPr>
          <w:t>http://www.who.int/ihr/9789241596664/en/index.html</w:t>
        </w:r>
      </w:hyperlink>
    </w:p>
    <w:p w14:paraId="041E3591" w14:textId="77777777" w:rsidR="003741ED" w:rsidRPr="00461B3E" w:rsidRDefault="003741ED" w:rsidP="001528E4">
      <w:pPr>
        <w:pStyle w:val="References"/>
      </w:pPr>
      <w:r>
        <w:t xml:space="preserve">WHO. 2007. </w:t>
      </w:r>
      <w:r w:rsidRPr="00461B3E">
        <w:rPr>
          <w:i/>
        </w:rPr>
        <w:t>International Health Regulations, Guide to Ship Sanitation</w:t>
      </w:r>
      <w:r>
        <w:t xml:space="preserve"> (3rd</w:t>
      </w:r>
      <w:r w:rsidRPr="00461B3E">
        <w:t xml:space="preserve"> </w:t>
      </w:r>
      <w:r>
        <w:t>e</w:t>
      </w:r>
      <w:r w:rsidRPr="00461B3E">
        <w:t>dition</w:t>
      </w:r>
      <w:r>
        <w:t>) draft</w:t>
      </w:r>
      <w:r w:rsidRPr="00461B3E">
        <w:t xml:space="preserve">, </w:t>
      </w:r>
      <w:r>
        <w:t>V</w:t>
      </w:r>
      <w:r w:rsidRPr="00461B3E">
        <w:t>ersion</w:t>
      </w:r>
      <w:r>
        <w:t> </w:t>
      </w:r>
      <w:r w:rsidRPr="00461B3E">
        <w:t>10.</w:t>
      </w:r>
      <w:r>
        <w:t xml:space="preserve"> </w:t>
      </w:r>
      <w:r w:rsidRPr="00461B3E">
        <w:t>Geneva</w:t>
      </w:r>
      <w:r>
        <w:t>:</w:t>
      </w:r>
      <w:r w:rsidRPr="00461B3E">
        <w:t xml:space="preserve"> World Health Organization.</w:t>
      </w:r>
      <w:r>
        <w:t xml:space="preserve"> 178 pp. Final version due December 2010. </w:t>
      </w:r>
      <w:hyperlink r:id="rId63" w:history="1">
        <w:r w:rsidRPr="001528E4">
          <w:rPr>
            <w:rStyle w:val="Hyperlink"/>
            <w:spacing w:val="-2"/>
          </w:rPr>
          <w:t>http://www.who.int/water_sanitation_health/gdwqrevision/rrships/en/index.html</w:t>
        </w:r>
      </w:hyperlink>
    </w:p>
    <w:p w14:paraId="041E3592" w14:textId="77777777" w:rsidR="003741ED" w:rsidRDefault="003741ED" w:rsidP="001528E4">
      <w:pPr>
        <w:pStyle w:val="References"/>
      </w:pPr>
      <w:r>
        <w:t xml:space="preserve">WHO. 2009. </w:t>
      </w:r>
      <w:r w:rsidRPr="00461B3E">
        <w:rPr>
          <w:i/>
        </w:rPr>
        <w:t>Guide to Hygiene and Sanitation in Aviation</w:t>
      </w:r>
      <w:r>
        <w:t xml:space="preserve"> (3rd edition)</w:t>
      </w:r>
      <w:r w:rsidRPr="00461B3E">
        <w:t>.</w:t>
      </w:r>
      <w:r>
        <w:t xml:space="preserve"> Geneva: World Health Organization. 71 pp. See for general links: </w:t>
      </w:r>
      <w:hyperlink r:id="rId64" w:history="1">
        <w:r w:rsidRPr="00B5661C">
          <w:rPr>
            <w:rStyle w:val="Hyperlink"/>
          </w:rPr>
          <w:t>http://www.who.int/ihr/ports_airports/en/</w:t>
        </w:r>
      </w:hyperlink>
      <w:r>
        <w:t xml:space="preserve"> and also: </w:t>
      </w:r>
      <w:hyperlink r:id="rId65" w:history="1">
        <w:r w:rsidRPr="001528E4">
          <w:rPr>
            <w:rStyle w:val="Hyperlink"/>
            <w:spacing w:val="-2"/>
          </w:rPr>
          <w:t>http://www.who.int/water_sanitation_health/gdwqrevision/aviation/en/index.html</w:t>
        </w:r>
      </w:hyperlink>
      <w:r>
        <w:t xml:space="preserve"> </w:t>
      </w:r>
      <w:hyperlink r:id="rId66" w:history="1">
        <w:r w:rsidRPr="00905572">
          <w:rPr>
            <w:rStyle w:val="Hyperlink"/>
          </w:rPr>
          <w:t>http://www.who.int/water_sanitation_health/hygiene/ships/guide_hygiene_sanitation_aviation_3_edition.pdf</w:t>
        </w:r>
      </w:hyperlink>
    </w:p>
    <w:p w14:paraId="041E3593" w14:textId="77777777" w:rsidR="003741ED" w:rsidRPr="0079093F" w:rsidRDefault="003741ED" w:rsidP="001528E4">
      <w:pPr>
        <w:pStyle w:val="References"/>
      </w:pPr>
      <w:r w:rsidRPr="004740B0">
        <w:t>WHO</w:t>
      </w:r>
      <w:r>
        <w:t>.</w:t>
      </w:r>
      <w:r w:rsidRPr="004740B0">
        <w:t xml:space="preserve"> 2011. </w:t>
      </w:r>
      <w:r w:rsidRPr="004740B0">
        <w:rPr>
          <w:i/>
        </w:rPr>
        <w:t>Guidelines for Drinking-water Quality</w:t>
      </w:r>
      <w:r w:rsidRPr="004740B0">
        <w:t xml:space="preserve"> 2011 (4th </w:t>
      </w:r>
      <w:r>
        <w:t>edition</w:t>
      </w:r>
      <w:r w:rsidRPr="004740B0">
        <w:t xml:space="preserve">). Geneva: World Health Organization. Available at: </w:t>
      </w:r>
      <w:hyperlink r:id="rId67" w:history="1">
        <w:r w:rsidRPr="0079093F">
          <w:rPr>
            <w:rStyle w:val="Hyperlink"/>
            <w:szCs w:val="22"/>
          </w:rPr>
          <w:t>http://www.who.int/water_sanitation_health/publications/2011/dwq_guidelines/en/index.html</w:t>
        </w:r>
      </w:hyperlink>
    </w:p>
    <w:p w14:paraId="041E3594" w14:textId="77777777" w:rsidR="003741ED" w:rsidRPr="00F811EC" w:rsidRDefault="003741ED" w:rsidP="001528E4">
      <w:pPr>
        <w:pStyle w:val="References"/>
      </w:pPr>
      <w:r>
        <w:t xml:space="preserve">WHO. 2011a. </w:t>
      </w:r>
      <w:r w:rsidRPr="00DB4687">
        <w:rPr>
          <w:i/>
        </w:rPr>
        <w:t>Guide to Ship Sanitation</w:t>
      </w:r>
      <w:r>
        <w:t xml:space="preserve"> (3rd edition). Geneva: World Health Organization. 171 pp. </w:t>
      </w:r>
      <w:hyperlink r:id="rId68" w:history="1">
        <w:r w:rsidRPr="00F811EC">
          <w:rPr>
            <w:rStyle w:val="Hyperlink"/>
          </w:rPr>
          <w:t>http://whqlibdoc.who.int/publications/2011/9789241546690_eng.pdf</w:t>
        </w:r>
      </w:hyperlink>
    </w:p>
    <w:p w14:paraId="041E3595" w14:textId="77777777" w:rsidR="003741ED" w:rsidRPr="00560F10" w:rsidRDefault="003741ED" w:rsidP="001528E4">
      <w:pPr>
        <w:pStyle w:val="References"/>
      </w:pPr>
      <w:r>
        <w:t xml:space="preserve">WHO. 2017. </w:t>
      </w:r>
      <w:r w:rsidRPr="00454463">
        <w:t>Guidelines for drinking-water quality: fourth edition inc</w:t>
      </w:r>
      <w:r>
        <w:t xml:space="preserve">orporating the first Addendum. </w:t>
      </w:r>
      <w:r w:rsidRPr="00454463">
        <w:t>Gene</w:t>
      </w:r>
      <w:r>
        <w:t xml:space="preserve">va: World Health Organization. 631 pp. </w:t>
      </w:r>
      <w:hyperlink r:id="rId69" w:history="1">
        <w:r w:rsidRPr="00F94371">
          <w:rPr>
            <w:rStyle w:val="Hyperlink"/>
          </w:rPr>
          <w:t>http://www.who.int/water_sanitation_health/publications/drinking-water-quality-guidelines-4-including-1st-addendum/en/</w:t>
        </w:r>
      </w:hyperlink>
    </w:p>
    <w:p w14:paraId="041E3596" w14:textId="77777777" w:rsidR="003741ED" w:rsidRDefault="003741ED" w:rsidP="001528E4">
      <w:pPr>
        <w:pStyle w:val="References"/>
      </w:pPr>
      <w:r w:rsidRPr="008F3EF8">
        <w:t>WRC</w:t>
      </w:r>
      <w:r>
        <w:t>.</w:t>
      </w:r>
      <w:r w:rsidRPr="008F3EF8">
        <w:t xml:space="preserve"> 1998.</w:t>
      </w:r>
      <w:r>
        <w:t xml:space="preserve"> </w:t>
      </w:r>
      <w:r w:rsidRPr="004D49AD">
        <w:rPr>
          <w:i/>
        </w:rPr>
        <w:t>Wholesale Water Supply Risk Analysis Discussion Paper</w:t>
      </w:r>
      <w:r w:rsidRPr="008F3EF8">
        <w:t>.</w:t>
      </w:r>
      <w:r>
        <w:t xml:space="preserve"> </w:t>
      </w:r>
      <w:r w:rsidRPr="008F3EF8">
        <w:t>Wellington Regional Council.</w:t>
      </w:r>
    </w:p>
    <w:p w14:paraId="041E3597" w14:textId="77777777" w:rsidR="003A390D" w:rsidRDefault="003A390D" w:rsidP="001528E4"/>
    <w:sectPr w:rsidR="003A390D" w:rsidSect="00AD73CB">
      <w:footerReference w:type="default" r:id="rId70"/>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416C" w14:textId="77777777" w:rsidR="00740533" w:rsidRDefault="00740533">
      <w:r>
        <w:separator/>
      </w:r>
    </w:p>
    <w:p w14:paraId="01B1C7B8" w14:textId="77777777" w:rsidR="00740533" w:rsidRDefault="00740533"/>
  </w:endnote>
  <w:endnote w:type="continuationSeparator" w:id="0">
    <w:p w14:paraId="0298B1B5" w14:textId="77777777" w:rsidR="00740533" w:rsidRDefault="00740533">
      <w:r>
        <w:continuationSeparator/>
      </w:r>
    </w:p>
    <w:p w14:paraId="36E61404" w14:textId="77777777" w:rsidR="00740533" w:rsidRDefault="00740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A51AA8" w14:paraId="041E35AB" w14:textId="77777777" w:rsidTr="004A00B0">
      <w:trPr>
        <w:cantSplit/>
      </w:trPr>
      <w:tc>
        <w:tcPr>
          <w:tcW w:w="675" w:type="dxa"/>
          <w:vAlign w:val="center"/>
        </w:tcPr>
        <w:p w14:paraId="041E35A9" w14:textId="77777777" w:rsidR="00A51AA8" w:rsidRPr="00931466" w:rsidRDefault="00A51AA8" w:rsidP="004A00B0">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D6F27">
            <w:rPr>
              <w:rStyle w:val="PageNumber"/>
              <w:noProof/>
            </w:rPr>
            <w:t>20</w:t>
          </w:r>
          <w:r w:rsidRPr="00931466">
            <w:rPr>
              <w:rStyle w:val="PageNumber"/>
            </w:rPr>
            <w:fldChar w:fldCharType="end"/>
          </w:r>
        </w:p>
      </w:tc>
      <w:tc>
        <w:tcPr>
          <w:tcW w:w="9072" w:type="dxa"/>
          <w:vAlign w:val="center"/>
        </w:tcPr>
        <w:p w14:paraId="041E35AA" w14:textId="77777777" w:rsidR="00A51AA8" w:rsidRDefault="00A51AA8" w:rsidP="002B13A2">
          <w:pPr>
            <w:pStyle w:val="RectoFooter"/>
            <w:ind w:left="-85"/>
            <w:jc w:val="left"/>
          </w:pPr>
          <w:r>
            <w:t>guidelines for drinking-water quality management for new zealand</w:t>
          </w:r>
          <w:r>
            <w:br/>
            <w:t>chapter 1: introduction – may 2019</w:t>
          </w:r>
        </w:p>
      </w:tc>
    </w:tr>
  </w:tbl>
  <w:p w14:paraId="041E35AC" w14:textId="77777777" w:rsidR="00A51AA8" w:rsidRPr="00571223" w:rsidRDefault="00A51AA8" w:rsidP="00571223">
    <w:pPr>
      <w:pStyle w:val="Verso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51AA8" w14:paraId="041E35AF" w14:textId="77777777" w:rsidTr="004A00B0">
      <w:trPr>
        <w:cantSplit/>
      </w:trPr>
      <w:tc>
        <w:tcPr>
          <w:tcW w:w="8080" w:type="dxa"/>
          <w:vAlign w:val="center"/>
        </w:tcPr>
        <w:p w14:paraId="041E35AD" w14:textId="77777777" w:rsidR="00A51AA8" w:rsidRDefault="00A51AA8" w:rsidP="003741ED">
          <w:pPr>
            <w:pStyle w:val="RectoFooter"/>
          </w:pPr>
          <w:r>
            <w:t>guidelines for drinking-water quality management for new zealand</w:t>
          </w:r>
          <w:r>
            <w:br/>
            <w:t>chapter 1: introduction – may 2019</w:t>
          </w:r>
        </w:p>
      </w:tc>
      <w:tc>
        <w:tcPr>
          <w:tcW w:w="709" w:type="dxa"/>
          <w:vAlign w:val="center"/>
        </w:tcPr>
        <w:p w14:paraId="041E35AE" w14:textId="77777777" w:rsidR="00A51AA8" w:rsidRPr="00931466" w:rsidRDefault="00A51AA8"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D6F27">
            <w:rPr>
              <w:rStyle w:val="PageNumber"/>
              <w:noProof/>
            </w:rPr>
            <w:t>1</w:t>
          </w:r>
          <w:r w:rsidRPr="00931466">
            <w:rPr>
              <w:rStyle w:val="PageNumber"/>
            </w:rPr>
            <w:fldChar w:fldCharType="end"/>
          </w:r>
        </w:p>
      </w:tc>
    </w:tr>
  </w:tbl>
  <w:p w14:paraId="041E35B0" w14:textId="77777777" w:rsidR="00A51AA8" w:rsidRPr="00581EB8" w:rsidRDefault="00A51AA8" w:rsidP="00581EB8">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601"/>
      <w:gridCol w:w="567"/>
    </w:tblGrid>
    <w:tr w:rsidR="00A51AA8" w14:paraId="041E35B3" w14:textId="77777777" w:rsidTr="008A5186">
      <w:trPr>
        <w:cantSplit/>
      </w:trPr>
      <w:tc>
        <w:tcPr>
          <w:tcW w:w="14601" w:type="dxa"/>
          <w:vAlign w:val="center"/>
        </w:tcPr>
        <w:p w14:paraId="041E35B1" w14:textId="77777777" w:rsidR="00A51AA8" w:rsidRDefault="00A51AA8" w:rsidP="003741ED">
          <w:pPr>
            <w:pStyle w:val="RectoFooter"/>
          </w:pPr>
          <w:r>
            <w:t>guidelines for drinking-water quality management for new zealand</w:t>
          </w:r>
          <w:r>
            <w:br/>
            <w:t>chapter 1: introduction – may 2019</w:t>
          </w:r>
        </w:p>
      </w:tc>
      <w:tc>
        <w:tcPr>
          <w:tcW w:w="567" w:type="dxa"/>
          <w:vAlign w:val="center"/>
        </w:tcPr>
        <w:p w14:paraId="041E35B2" w14:textId="77777777" w:rsidR="00A51AA8" w:rsidRPr="00931466" w:rsidRDefault="00A51AA8"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D6F27">
            <w:rPr>
              <w:rStyle w:val="PageNumber"/>
              <w:noProof/>
            </w:rPr>
            <w:t>9</w:t>
          </w:r>
          <w:r w:rsidRPr="00931466">
            <w:rPr>
              <w:rStyle w:val="PageNumber"/>
            </w:rPr>
            <w:fldChar w:fldCharType="end"/>
          </w:r>
        </w:p>
      </w:tc>
    </w:tr>
  </w:tbl>
  <w:p w14:paraId="041E35B4" w14:textId="77777777" w:rsidR="00A51AA8" w:rsidRPr="00581EB8" w:rsidRDefault="00A51AA8"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51AA8" w14:paraId="041E35B7" w14:textId="77777777" w:rsidTr="004A00B0">
      <w:trPr>
        <w:cantSplit/>
      </w:trPr>
      <w:tc>
        <w:tcPr>
          <w:tcW w:w="8080" w:type="dxa"/>
          <w:vAlign w:val="center"/>
        </w:tcPr>
        <w:p w14:paraId="041E35B5" w14:textId="77777777" w:rsidR="00A51AA8" w:rsidRDefault="00A51AA8" w:rsidP="003741ED">
          <w:pPr>
            <w:pStyle w:val="RectoFooter"/>
          </w:pPr>
          <w:r>
            <w:t>guidelines for drinking-water quality management for new zealand</w:t>
          </w:r>
          <w:r>
            <w:br/>
            <w:t>chapter 1: introduction – may 2019</w:t>
          </w:r>
        </w:p>
      </w:tc>
      <w:tc>
        <w:tcPr>
          <w:tcW w:w="709" w:type="dxa"/>
          <w:vAlign w:val="center"/>
        </w:tcPr>
        <w:p w14:paraId="041E35B6" w14:textId="77777777" w:rsidR="00A51AA8" w:rsidRPr="00931466" w:rsidRDefault="00A51AA8"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11</w:t>
          </w:r>
          <w:r w:rsidRPr="00931466">
            <w:rPr>
              <w:rStyle w:val="PageNumber"/>
            </w:rPr>
            <w:fldChar w:fldCharType="end"/>
          </w:r>
        </w:p>
      </w:tc>
    </w:tr>
  </w:tbl>
  <w:p w14:paraId="041E35B8" w14:textId="77777777" w:rsidR="00A51AA8" w:rsidRPr="00581EB8" w:rsidRDefault="00A51AA8" w:rsidP="00581EB8">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601"/>
      <w:gridCol w:w="567"/>
    </w:tblGrid>
    <w:tr w:rsidR="00A51AA8" w14:paraId="041E35BB" w14:textId="77777777" w:rsidTr="00BE7C7A">
      <w:trPr>
        <w:cantSplit/>
      </w:trPr>
      <w:tc>
        <w:tcPr>
          <w:tcW w:w="14601" w:type="dxa"/>
          <w:vAlign w:val="center"/>
        </w:tcPr>
        <w:p w14:paraId="041E35B9" w14:textId="77777777" w:rsidR="00A51AA8" w:rsidRDefault="00A51AA8" w:rsidP="003741ED">
          <w:pPr>
            <w:pStyle w:val="RectoFooter"/>
          </w:pPr>
          <w:r>
            <w:t>guidelines for drinking-water quality management for new zealand</w:t>
          </w:r>
          <w:r>
            <w:br/>
            <w:t>chapter 1: introduction – may 2019</w:t>
          </w:r>
        </w:p>
      </w:tc>
      <w:tc>
        <w:tcPr>
          <w:tcW w:w="567" w:type="dxa"/>
          <w:vAlign w:val="center"/>
        </w:tcPr>
        <w:p w14:paraId="041E35BA" w14:textId="77777777" w:rsidR="00A51AA8" w:rsidRPr="00931466" w:rsidRDefault="00A51AA8"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D6F27">
            <w:rPr>
              <w:rStyle w:val="PageNumber"/>
              <w:noProof/>
            </w:rPr>
            <w:t>11</w:t>
          </w:r>
          <w:r w:rsidRPr="00931466">
            <w:rPr>
              <w:rStyle w:val="PageNumber"/>
            </w:rPr>
            <w:fldChar w:fldCharType="end"/>
          </w:r>
        </w:p>
      </w:tc>
    </w:tr>
  </w:tbl>
  <w:p w14:paraId="041E35BC" w14:textId="77777777" w:rsidR="00A51AA8" w:rsidRPr="00581EB8" w:rsidRDefault="00A51AA8"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A51AA8" w14:paraId="041E35BF" w14:textId="77777777" w:rsidTr="004A00B0">
      <w:trPr>
        <w:cantSplit/>
      </w:trPr>
      <w:tc>
        <w:tcPr>
          <w:tcW w:w="8080" w:type="dxa"/>
          <w:vAlign w:val="center"/>
        </w:tcPr>
        <w:p w14:paraId="041E35BD" w14:textId="77777777" w:rsidR="00A51AA8" w:rsidRDefault="00A51AA8" w:rsidP="003741ED">
          <w:pPr>
            <w:pStyle w:val="RectoFooter"/>
          </w:pPr>
          <w:r>
            <w:t>guidelines for drinking-water quality management for new zealand</w:t>
          </w:r>
          <w:r>
            <w:br/>
            <w:t>chapter 1: introduction – may 2019</w:t>
          </w:r>
        </w:p>
      </w:tc>
      <w:tc>
        <w:tcPr>
          <w:tcW w:w="709" w:type="dxa"/>
          <w:vAlign w:val="center"/>
        </w:tcPr>
        <w:p w14:paraId="041E35BE" w14:textId="77777777" w:rsidR="00A51AA8" w:rsidRPr="00931466" w:rsidRDefault="00A51AA8"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D6F27">
            <w:rPr>
              <w:rStyle w:val="PageNumber"/>
              <w:noProof/>
            </w:rPr>
            <w:t>21</w:t>
          </w:r>
          <w:r w:rsidRPr="00931466">
            <w:rPr>
              <w:rStyle w:val="PageNumber"/>
            </w:rPr>
            <w:fldChar w:fldCharType="end"/>
          </w:r>
        </w:p>
      </w:tc>
    </w:tr>
  </w:tbl>
  <w:p w14:paraId="041E35C0" w14:textId="77777777" w:rsidR="00A51AA8" w:rsidRPr="00581EB8" w:rsidRDefault="00A51AA8"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4BD6" w14:textId="77777777" w:rsidR="00740533" w:rsidRPr="00A26E6B" w:rsidRDefault="00740533" w:rsidP="00A26E6B"/>
  </w:footnote>
  <w:footnote w:type="continuationSeparator" w:id="0">
    <w:p w14:paraId="26714483" w14:textId="77777777" w:rsidR="00740533" w:rsidRDefault="00740533">
      <w:r>
        <w:continuationSeparator/>
      </w:r>
    </w:p>
    <w:p w14:paraId="625E2922" w14:textId="77777777" w:rsidR="00740533" w:rsidRDefault="00740533"/>
  </w:footnote>
  <w:footnote w:id="1">
    <w:p w14:paraId="041E35C1" w14:textId="77777777" w:rsidR="00A51AA8" w:rsidRDefault="00A51AA8" w:rsidP="003741ED">
      <w:pPr>
        <w:pStyle w:val="FootnoteText"/>
      </w:pPr>
      <w:r w:rsidRPr="003741ED">
        <w:rPr>
          <w:rStyle w:val="FootnoteReference"/>
        </w:rPr>
        <w:footnoteRef/>
      </w:r>
      <w:r>
        <w:tab/>
      </w:r>
      <w:r w:rsidRPr="00371D04">
        <w:t xml:space="preserve">For reporting purposes the outbreak case definition is </w:t>
      </w:r>
      <w:r>
        <w:t>“</w:t>
      </w:r>
      <w:r w:rsidRPr="00371D04">
        <w:t>two or more cases linked to a common source</w:t>
      </w:r>
      <w:r>
        <w:t>”</w:t>
      </w:r>
      <w:r w:rsidRPr="00371D04">
        <w:t xml:space="preserve"> (ESR 2002 Disease Outbreak Manual p2 (download www.surv.esr.cri.nz)</w:t>
      </w:r>
      <w:r>
        <w:t>)</w:t>
      </w:r>
      <w:r w:rsidRPr="00371D04">
        <w:t>.</w:t>
      </w:r>
      <w:r>
        <w:t xml:space="preserve"> </w:t>
      </w:r>
      <w:r w:rsidRPr="00371D04">
        <w:t xml:space="preserve">The sensitivity of surveillance for diseases will often be less, particularly for common enteric diseases where only a small proportion of those infected will </w:t>
      </w:r>
      <w:r w:rsidRPr="00A05F16">
        <w:t>advise</w:t>
      </w:r>
      <w:r w:rsidRPr="00371D04">
        <w:t xml:space="preserve"> health </w:t>
      </w:r>
      <w:r>
        <w:t>officials</w:t>
      </w:r>
      <w:r w:rsidRPr="00371D04">
        <w:t xml:space="preserve"> thereby reducing the chances of identifying a common source</w:t>
      </w:r>
      <w:r w:rsidRPr="006E4BFE">
        <w:t>.</w:t>
      </w:r>
    </w:p>
  </w:footnote>
  <w:footnote w:id="2">
    <w:p w14:paraId="041E35C2" w14:textId="77777777" w:rsidR="00A51AA8" w:rsidRDefault="00A51AA8" w:rsidP="004A00B0">
      <w:pPr>
        <w:pStyle w:val="FootnoteText"/>
      </w:pPr>
      <w:r w:rsidRPr="004A00B0">
        <w:rPr>
          <w:rStyle w:val="FootnoteReference"/>
        </w:rPr>
        <w:footnoteRef/>
      </w:r>
      <w:r>
        <w:tab/>
      </w:r>
      <w:r w:rsidRPr="004740B0">
        <w:t xml:space="preserve">Outbreaks of cryptosporidiosis in Milwaukee (USA) and pathogenic </w:t>
      </w:r>
      <w:r>
        <w:rPr>
          <w:i/>
          <w:iCs/>
        </w:rPr>
        <w:t>E. coli</w:t>
      </w:r>
      <w:r>
        <w:t xml:space="preserve"> in Walkerton (Canada) are the most recent serious examples, where numbers of people died and others gained life-long health impairment (usually renal failure).</w:t>
      </w:r>
    </w:p>
  </w:footnote>
  <w:footnote w:id="3">
    <w:p w14:paraId="041E35C3" w14:textId="77777777" w:rsidR="00A51AA8" w:rsidRDefault="00A51AA8" w:rsidP="004A00B0">
      <w:pPr>
        <w:pStyle w:val="FootnoteText"/>
      </w:pPr>
      <w:r w:rsidRPr="004A00B0">
        <w:rPr>
          <w:rStyle w:val="FootnoteReference"/>
        </w:rPr>
        <w:footnoteRef/>
      </w:r>
      <w:r>
        <w:tab/>
        <w:t xml:space="preserve">New Zealand examples include: Queenstown (Thorstensen 1985), Canterbury (Briesman 1987, Stehr-Green </w:t>
      </w:r>
      <w:r>
        <w:rPr>
          <w:iCs/>
        </w:rPr>
        <w:t>et al</w:t>
      </w:r>
      <w:r>
        <w:t xml:space="preserve"> 1991), Hawkes Bay (</w:t>
      </w:r>
      <w:r w:rsidRPr="007241B7">
        <w:t xml:space="preserve">McElnay </w:t>
      </w:r>
      <w:r>
        <w:t>and</w:t>
      </w:r>
      <w:r w:rsidRPr="007241B7">
        <w:t xml:space="preserve"> Inkson</w:t>
      </w:r>
      <w:r>
        <w:t xml:space="preserve"> 2002). The 1984 Queenstown outbreak affected an estimated 3,500 people, and at least one person affected has since required continual kidney dialysis.</w:t>
      </w:r>
    </w:p>
  </w:footnote>
  <w:footnote w:id="4">
    <w:p w14:paraId="041E35C4" w14:textId="77777777" w:rsidR="00A51AA8" w:rsidRPr="00EC2A45" w:rsidRDefault="00A51AA8" w:rsidP="00AD73CB">
      <w:pPr>
        <w:pStyle w:val="FootnoteText"/>
      </w:pPr>
      <w:r w:rsidRPr="00AD73CB">
        <w:rPr>
          <w:rStyle w:val="FootnoteReference"/>
        </w:rPr>
        <w:footnoteRef/>
      </w:r>
      <w:r>
        <w:tab/>
      </w:r>
      <w:r w:rsidRPr="004740B0">
        <w:t xml:space="preserve">A preliminary study occasionally found small concentrations of </w:t>
      </w:r>
      <w:r w:rsidRPr="004740B0">
        <w:rPr>
          <w:i/>
          <w:iCs/>
        </w:rPr>
        <w:t>Campylobacter</w:t>
      </w:r>
      <w:r w:rsidRPr="00EC2A45">
        <w:t xml:space="preserve"> in finished well-treated New Zealand water supplies (Savill </w:t>
      </w:r>
      <w:r>
        <w:rPr>
          <w:iCs/>
        </w:rPr>
        <w:t>et al</w:t>
      </w:r>
      <w:r w:rsidRPr="003832F1">
        <w:t xml:space="preserve"> 2001), but a subsequent full-scale study, using altered laboratory procedures, has failed to repeat that finding (Nokes </w:t>
      </w:r>
      <w:r>
        <w:rPr>
          <w:iCs/>
        </w:rPr>
        <w:t>et al</w:t>
      </w:r>
      <w:r w:rsidRPr="00EC2A45">
        <w:t xml:space="preserve"> 2004).</w:t>
      </w:r>
    </w:p>
  </w:footnote>
  <w:footnote w:id="5">
    <w:p w14:paraId="041E35C5" w14:textId="77777777" w:rsidR="00A51AA8" w:rsidRPr="00CE6F02" w:rsidRDefault="00A51AA8" w:rsidP="00E36D06">
      <w:pPr>
        <w:pStyle w:val="FootnoteText"/>
      </w:pPr>
      <w:r w:rsidRPr="00E36D06">
        <w:rPr>
          <w:rStyle w:val="FootnoteReference"/>
        </w:rPr>
        <w:footnoteRef/>
      </w:r>
      <w:r>
        <w:tab/>
      </w:r>
      <w:r w:rsidRPr="00CE6F02">
        <w:t>Drinking-water public health issues – a public discussion paper.</w:t>
      </w:r>
      <w:r>
        <w:t xml:space="preserve"> </w:t>
      </w:r>
      <w:r w:rsidRPr="00CE6F02">
        <w:t>MoH, Wellington, March 1995.</w:t>
      </w:r>
      <w:r>
        <w:t xml:space="preserve"> </w:t>
      </w:r>
      <w:r w:rsidRPr="00CE6F02">
        <w:t>67</w:t>
      </w:r>
      <w:r>
        <w:t> </w:t>
      </w:r>
      <w:r w:rsidRPr="00CE6F02">
        <w:t>submissions were received representing the views of 101 agencies and groups.</w:t>
      </w:r>
      <w:r>
        <w:t xml:space="preserve"> </w:t>
      </w:r>
      <w:r w:rsidRPr="00CE6F02">
        <w:t>There was unanimous agreement that:</w:t>
      </w:r>
    </w:p>
    <w:p w14:paraId="041E35C6" w14:textId="77777777" w:rsidR="00A51AA8" w:rsidRPr="00CE6F02" w:rsidRDefault="00A51AA8" w:rsidP="00E36D06">
      <w:pPr>
        <w:pStyle w:val="FootnoteText"/>
        <w:ind w:left="851" w:hanging="567"/>
      </w:pPr>
      <w:r w:rsidRPr="00CE6F02">
        <w:t>1.01</w:t>
      </w:r>
      <w:r w:rsidRPr="00CE6F02">
        <w:tab/>
        <w:t>safe drinking-water is a key requirement for public health</w:t>
      </w:r>
    </w:p>
    <w:p w14:paraId="041E35C7" w14:textId="77777777" w:rsidR="00A51AA8" w:rsidRPr="00CE6F02" w:rsidRDefault="00A51AA8" w:rsidP="00E36D06">
      <w:pPr>
        <w:pStyle w:val="FootnoteText"/>
        <w:ind w:left="851" w:hanging="567"/>
      </w:pPr>
      <w:r w:rsidRPr="00CE6F02">
        <w:t>1.02</w:t>
      </w:r>
      <w:r w:rsidRPr="00CE6F02">
        <w:tab/>
        <w:t>all persons should have the right to expect that any water which they draw from a tap was safe to drink unless they were specifically informed to the contrary.</w:t>
      </w:r>
      <w:r>
        <w:t xml:space="preserve"> </w:t>
      </w:r>
      <w:r w:rsidRPr="00CE6F02">
        <w:t>This was considered especially important in premises handling food and to be particularly important for tourism, and travellers.</w:t>
      </w:r>
      <w:r>
        <w:t xml:space="preserve"> </w:t>
      </w:r>
      <w:r w:rsidRPr="00CE6F02">
        <w:t>It was considered that there was a need for signs in hotels, camps, farmstays etc where the water does not meet the Standards</w:t>
      </w:r>
    </w:p>
    <w:p w14:paraId="041E35C8" w14:textId="77777777" w:rsidR="00A51AA8" w:rsidRPr="00CE6F02" w:rsidRDefault="00A51AA8" w:rsidP="00E36D06">
      <w:pPr>
        <w:pStyle w:val="FootnoteText"/>
        <w:ind w:left="851" w:hanging="567"/>
      </w:pPr>
      <w:r w:rsidRPr="00CE6F02">
        <w:t>1.03</w:t>
      </w:r>
      <w:r w:rsidRPr="00CE6F02">
        <w:tab/>
        <w:t>the legislation relating to drinking-water is outdated, fragmented, inadequate and in need of revision, integration and cross-referencing.</w:t>
      </w:r>
      <w:r>
        <w:t xml:space="preserve"> </w:t>
      </w:r>
      <w:r w:rsidRPr="00CE6F02">
        <w:t>Over 36 Acts and Regulations are involved.</w:t>
      </w:r>
      <w:r>
        <w:t xml:space="preserve"> </w:t>
      </w:r>
      <w:r w:rsidRPr="00CE6F02">
        <w:t xml:space="preserve">In these, reference is made to </w:t>
      </w:r>
      <w:r>
        <w:t>‘</w:t>
      </w:r>
      <w:r w:rsidRPr="00CE6F02">
        <w:t>acceptable</w:t>
      </w:r>
      <w:r>
        <w:t>’</w:t>
      </w:r>
      <w:r w:rsidRPr="00CE6F02">
        <w:t xml:space="preserve">, </w:t>
      </w:r>
      <w:r>
        <w:t>‘</w:t>
      </w:r>
      <w:r w:rsidRPr="00CE6F02">
        <w:t>pure</w:t>
      </w:r>
      <w:r>
        <w:t>’</w:t>
      </w:r>
      <w:r w:rsidRPr="00CE6F02">
        <w:t xml:space="preserve">, </w:t>
      </w:r>
      <w:r>
        <w:t>‘</w:t>
      </w:r>
      <w:r w:rsidRPr="00CE6F02">
        <w:t>wholesome</w:t>
      </w:r>
      <w:r>
        <w:t>’</w:t>
      </w:r>
      <w:r w:rsidRPr="00CE6F02">
        <w:t xml:space="preserve">, </w:t>
      </w:r>
      <w:r>
        <w:t>‘</w:t>
      </w:r>
      <w:r w:rsidRPr="00CE6F02">
        <w:t>potable</w:t>
      </w:r>
      <w:r>
        <w:t>’</w:t>
      </w:r>
      <w:r w:rsidRPr="00CE6F02">
        <w:t xml:space="preserve">, or </w:t>
      </w:r>
      <w:r>
        <w:t>‘</w:t>
      </w:r>
      <w:r w:rsidRPr="00CE6F02">
        <w:t>safe</w:t>
      </w:r>
      <w:r>
        <w:t>’</w:t>
      </w:r>
      <w:r w:rsidRPr="00CE6F02">
        <w:t>, water, etc; what these terms mean is rarely defined.</w:t>
      </w:r>
      <w:r>
        <w:t xml:space="preserve"> </w:t>
      </w:r>
      <w:r w:rsidRPr="00CE6F02">
        <w:t>All submissions on this subject recommended that the definitions of these terms should be standardised throughout the legislation</w:t>
      </w:r>
    </w:p>
    <w:p w14:paraId="041E35C9" w14:textId="77777777" w:rsidR="00A51AA8" w:rsidRPr="00CE6F02" w:rsidRDefault="00A51AA8" w:rsidP="00E36D06">
      <w:pPr>
        <w:pStyle w:val="FootnoteText"/>
        <w:ind w:left="851" w:hanging="567"/>
      </w:pPr>
      <w:r w:rsidRPr="00CE6F02">
        <w:t>1.04</w:t>
      </w:r>
      <w:r w:rsidRPr="00CE6F02">
        <w:tab/>
        <w:t>any legislative revision should remove gaps, produce consistency and remove conflict between the various Acts, Regulations and Bylaws which relate or refer to drinking-water quality, especially the Local Government Act 1974, the Rating Powers Act 1988, the Health Act 1956, the Resource Management Act 1991, the Water Supplies Protection Regulations 1961, the Building Act 1991 and the model Bylaws</w:t>
      </w:r>
    </w:p>
    <w:p w14:paraId="041E35CA" w14:textId="77777777" w:rsidR="00A51AA8" w:rsidRPr="00CE6F02" w:rsidRDefault="00A51AA8" w:rsidP="00E36D06">
      <w:pPr>
        <w:pStyle w:val="FootnoteText"/>
        <w:ind w:left="709" w:hanging="425"/>
      </w:pPr>
      <w:r w:rsidRPr="00CE6F02">
        <w:t>1.05</w:t>
      </w:r>
      <w:r w:rsidRPr="00CE6F02">
        <w:tab/>
        <w:t>compliance mechanisms and penalties should be effective and of equivalent severity to those in the Resource Management Act 1991 and the Health and Safety in Employment Act 1992</w:t>
      </w:r>
    </w:p>
    <w:p w14:paraId="041E35CB" w14:textId="77777777" w:rsidR="00A51AA8" w:rsidRPr="00CE6F02" w:rsidRDefault="00A51AA8" w:rsidP="00E36D06">
      <w:pPr>
        <w:pStyle w:val="FootnoteText"/>
        <w:ind w:left="709" w:hanging="425"/>
      </w:pPr>
      <w:r w:rsidRPr="00CE6F02">
        <w:t>1.06</w:t>
      </w:r>
      <w:r w:rsidRPr="00CE6F02">
        <w:tab/>
        <w:t>the Ministry of Health should be the lead organisation in the national management of drinking-water quality, with territorial authorities having a key role in the enhancement of drinking-water quality control</w:t>
      </w:r>
    </w:p>
    <w:p w14:paraId="041E35CC" w14:textId="77777777" w:rsidR="00A51AA8" w:rsidRPr="00CE6F02" w:rsidRDefault="00A51AA8" w:rsidP="00E36D06">
      <w:pPr>
        <w:pStyle w:val="FootnoteText"/>
        <w:ind w:left="709" w:hanging="425"/>
      </w:pPr>
      <w:r w:rsidRPr="00CE6F02">
        <w:t>1.07</w:t>
      </w:r>
      <w:r w:rsidRPr="00CE6F02">
        <w:tab/>
        <w:t>the Ministry of Health should be statutorily empowered to promulgate drinking-water standards</w:t>
      </w:r>
    </w:p>
    <w:p w14:paraId="041E35CD" w14:textId="77777777" w:rsidR="00A51AA8" w:rsidRPr="00CE6F02" w:rsidRDefault="00A51AA8" w:rsidP="00E36D06">
      <w:pPr>
        <w:pStyle w:val="FootnoteText"/>
        <w:ind w:left="709" w:hanging="425"/>
      </w:pPr>
      <w:r w:rsidRPr="00CE6F02">
        <w:t>1.08</w:t>
      </w:r>
      <w:r w:rsidRPr="00CE6F02">
        <w:tab/>
        <w:t>the Ministry of Health should be statutorily empowered to carry out the public health grading of drinking-water supplies</w:t>
      </w:r>
    </w:p>
    <w:p w14:paraId="041E35CE" w14:textId="77777777" w:rsidR="00A51AA8" w:rsidRPr="00CE6F02" w:rsidRDefault="00A51AA8" w:rsidP="00E36D06">
      <w:pPr>
        <w:pStyle w:val="FootnoteText"/>
        <w:ind w:left="709" w:hanging="425"/>
      </w:pPr>
      <w:r w:rsidRPr="00CE6F02">
        <w:t>1.09</w:t>
      </w:r>
      <w:r w:rsidRPr="00CE6F02">
        <w:tab/>
        <w:t>the respective roles, relationships and responsibilities of the various agencies and statutory officers involved in drinking-water quality management (principally the designated officers of the Ministry of Health and the TA</w:t>
      </w:r>
      <w:r>
        <w:t>’</w:t>
      </w:r>
      <w:r w:rsidRPr="00CE6F02">
        <w:t>s officers concerned with each of the supply, regulation and planning functions) need to be more clearly defined in the legislation.</w:t>
      </w:r>
      <w:r>
        <w:t xml:space="preserve"> </w:t>
      </w:r>
      <w:r w:rsidRPr="00CE6F02">
        <w:t>This includes defining the responsibility for each of water supply provision, monitoring, surveillance, audit etc</w:t>
      </w:r>
    </w:p>
    <w:p w14:paraId="041E35CF" w14:textId="77777777" w:rsidR="00A51AA8" w:rsidRDefault="00A51AA8" w:rsidP="00E36D06">
      <w:pPr>
        <w:pStyle w:val="FootnoteText"/>
        <w:ind w:left="709" w:hanging="425"/>
      </w:pPr>
      <w:r w:rsidRPr="00CE6F02">
        <w:t>1.10</w:t>
      </w:r>
      <w:r w:rsidRPr="00CE6F02">
        <w:tab/>
        <w:t>the public has a right to know about the quality and safety of drinking-water supplies and all information about these should be publicly available.</w:t>
      </w:r>
    </w:p>
  </w:footnote>
  <w:footnote w:id="6">
    <w:p w14:paraId="041E35D0" w14:textId="77777777" w:rsidR="00A51AA8" w:rsidRDefault="00A51AA8" w:rsidP="00E36D06">
      <w:pPr>
        <w:pStyle w:val="FootnoteText"/>
      </w:pPr>
      <w:r w:rsidRPr="00E36D06">
        <w:rPr>
          <w:rStyle w:val="FootnoteReference"/>
        </w:rPr>
        <w:footnoteRef/>
      </w:r>
      <w:r>
        <w:tab/>
        <w:t xml:space="preserve">Review of the Water Supplies Protection Regulations 1961 (Review of Regulations made under the Health Act 1956) – a discussion document. MoH (Wellington), </w:t>
      </w:r>
      <w:r w:rsidRPr="00CE6F02">
        <w:t>February 1998</w:t>
      </w:r>
      <w:r>
        <w:t>.</w:t>
      </w:r>
    </w:p>
  </w:footnote>
  <w:footnote w:id="7">
    <w:p w14:paraId="041E35D1" w14:textId="77777777" w:rsidR="00A51AA8" w:rsidRPr="00E36D06" w:rsidRDefault="00A51AA8">
      <w:pPr>
        <w:pStyle w:val="FootnoteText"/>
      </w:pPr>
      <w:r w:rsidRPr="00E36D06">
        <w:rPr>
          <w:rStyle w:val="FootnoteReference"/>
        </w:rPr>
        <w:footnoteRef/>
      </w:r>
      <w:r w:rsidRPr="00E36D06">
        <w:tab/>
      </w:r>
      <w:r>
        <w:t>S</w:t>
      </w:r>
      <w:r w:rsidRPr="0020332A">
        <w:t xml:space="preserve">ee </w:t>
      </w:r>
      <w:r w:rsidRPr="00E36D06">
        <w:rPr>
          <w:i/>
        </w:rPr>
        <w:t>New Zealand Drinking-water Safety Plan Framework</w:t>
      </w:r>
      <w:r>
        <w:t xml:space="preserve"> – Ministry of Health (2018).</w:t>
      </w:r>
    </w:p>
  </w:footnote>
  <w:footnote w:id="8">
    <w:p w14:paraId="041E35D2" w14:textId="77777777" w:rsidR="00A51AA8" w:rsidRPr="00B505FF" w:rsidRDefault="00A51AA8" w:rsidP="00E36D06">
      <w:pPr>
        <w:pStyle w:val="FootnoteText"/>
      </w:pPr>
      <w:r w:rsidRPr="00E36D06">
        <w:rPr>
          <w:rStyle w:val="FootnoteReference"/>
        </w:rPr>
        <w:footnoteRef/>
      </w:r>
      <w:r>
        <w:tab/>
      </w:r>
      <w:r w:rsidRPr="00B505FF">
        <w:t>All practicable steps, in relation to the achievement of any particular result, means all steps to achieve that result that it is reasonably practicable to take in the circumstances, having regard to the:</w:t>
      </w:r>
    </w:p>
    <w:p w14:paraId="041E35D3" w14:textId="77777777" w:rsidR="00A51AA8" w:rsidRPr="00B505FF" w:rsidRDefault="00A51AA8" w:rsidP="00E36D06">
      <w:pPr>
        <w:pStyle w:val="FootnoteText"/>
        <w:ind w:left="568"/>
      </w:pPr>
      <w:r>
        <w:t>a)</w:t>
      </w:r>
      <w:r>
        <w:tab/>
      </w:r>
      <w:r w:rsidRPr="00B505FF">
        <w:t>nature and severity of the harm that may be suffered if the result is not achieved, and</w:t>
      </w:r>
    </w:p>
    <w:p w14:paraId="041E35D4" w14:textId="77777777" w:rsidR="00A51AA8" w:rsidRPr="00B505FF" w:rsidRDefault="00A51AA8" w:rsidP="00E36D06">
      <w:pPr>
        <w:pStyle w:val="FootnoteText"/>
        <w:ind w:left="568"/>
      </w:pPr>
      <w:r>
        <w:t>b)</w:t>
      </w:r>
      <w:r>
        <w:tab/>
      </w:r>
      <w:r w:rsidRPr="00B505FF">
        <w:t>current state of knowledge about the likelihood that harm of that nature and severity will be suffered if the result is not achieved, and</w:t>
      </w:r>
    </w:p>
    <w:p w14:paraId="041E35D5" w14:textId="77777777" w:rsidR="00A51AA8" w:rsidRPr="00CE6F02" w:rsidRDefault="00A51AA8" w:rsidP="00E36D06">
      <w:pPr>
        <w:pStyle w:val="FootnoteText"/>
        <w:ind w:left="568"/>
      </w:pPr>
      <w:r>
        <w:t>c)</w:t>
      </w:r>
      <w:r>
        <w:tab/>
      </w:r>
      <w:r w:rsidRPr="00B505FF">
        <w:t>current state of knowledge about harm of that nature, and</w:t>
      </w:r>
    </w:p>
    <w:p w14:paraId="041E35D6" w14:textId="77777777" w:rsidR="00A51AA8" w:rsidRPr="00CE6F02" w:rsidRDefault="00A51AA8" w:rsidP="00E36D06">
      <w:pPr>
        <w:pStyle w:val="FootnoteText"/>
        <w:ind w:left="568"/>
      </w:pPr>
      <w:r>
        <w:t>d)</w:t>
      </w:r>
      <w:r>
        <w:tab/>
      </w:r>
      <w:r w:rsidRPr="00CE6F02">
        <w:t>current state of knowledge about the means available to achieve that result, and about the likely efficacy of each, and availability and cost of each of those means</w:t>
      </w:r>
      <w:r>
        <w:t>.</w:t>
      </w:r>
    </w:p>
  </w:footnote>
  <w:footnote w:id="9">
    <w:p w14:paraId="041E35D7" w14:textId="77777777" w:rsidR="00A51AA8" w:rsidRDefault="00A51AA8" w:rsidP="00516A27">
      <w:pPr>
        <w:pStyle w:val="FootnoteText"/>
      </w:pPr>
      <w:r w:rsidRPr="00516A27">
        <w:rPr>
          <w:rStyle w:val="FootnoteReference"/>
        </w:rPr>
        <w:footnoteRef/>
      </w:r>
      <w:r>
        <w:tab/>
        <w:t>NZWWA/NZWERF. 2002. New Zealand Small Water Systems Survey (Report to the MoH) Wellington.</w:t>
      </w:r>
    </w:p>
  </w:footnote>
  <w:footnote w:id="10">
    <w:p w14:paraId="041E35D8" w14:textId="77777777" w:rsidR="00A51AA8" w:rsidRDefault="00A51AA8" w:rsidP="00516A27">
      <w:pPr>
        <w:pStyle w:val="FootnoteText"/>
      </w:pPr>
      <w:r w:rsidRPr="00516A27">
        <w:rPr>
          <w:rStyle w:val="FootnoteReference"/>
        </w:rPr>
        <w:footnoteRef/>
      </w:r>
      <w:r>
        <w:rPr>
          <w:lang w:eastAsia="x-none"/>
        </w:rPr>
        <w:tab/>
      </w:r>
      <w:r w:rsidRPr="00CE6F02">
        <w:rPr>
          <w:lang w:eastAsia="x-none"/>
        </w:rPr>
        <w:t>ESR</w:t>
      </w:r>
      <w:r>
        <w:rPr>
          <w:lang w:eastAsia="x-none"/>
        </w:rPr>
        <w:t>.</w:t>
      </w:r>
      <w:r w:rsidRPr="00CE6F02">
        <w:rPr>
          <w:lang w:eastAsia="x-none"/>
        </w:rPr>
        <w:t xml:space="preserve"> 2004.</w:t>
      </w:r>
      <w:r>
        <w:rPr>
          <w:lang w:eastAsia="x-none"/>
        </w:rPr>
        <w:t xml:space="preserve"> </w:t>
      </w:r>
      <w:r w:rsidRPr="00CE6F02">
        <w:rPr>
          <w:lang w:eastAsia="x-none"/>
        </w:rPr>
        <w:t>R</w:t>
      </w:r>
      <w:r w:rsidRPr="004E2C45">
        <w:rPr>
          <w:lang w:eastAsia="x-none"/>
        </w:rPr>
        <w:t>eport on regional consultation meetings for smaller and rural water supplies</w:t>
      </w:r>
      <w:r>
        <w:rPr>
          <w:lang w:eastAsia="x-none"/>
        </w:rPr>
        <w:t xml:space="preserve">; </w:t>
      </w:r>
      <w:r w:rsidRPr="00CE6F02">
        <w:rPr>
          <w:lang w:eastAsia="x-none"/>
        </w:rPr>
        <w:t>FW0474.</w:t>
      </w:r>
      <w:r>
        <w:rPr>
          <w:lang w:eastAsia="x-none"/>
        </w:rPr>
        <w:t xml:space="preserve"> </w:t>
      </w:r>
      <w:r>
        <w:t xml:space="preserve">Meetings were held in </w:t>
      </w:r>
      <w:r w:rsidRPr="005A7935">
        <w:t>Whangarei, Tauranga, Hamilton, Taupo, Palmerston North, New Plymouth, Gisborne, Napier, Masterton, Queenstown, Greymouth, Nelson, Invercargill, Balclutha, Timaru, Kaikoura</w:t>
      </w:r>
      <w:r>
        <w:t>.</w:t>
      </w:r>
    </w:p>
  </w:footnote>
  <w:footnote w:id="11">
    <w:p w14:paraId="041E35D9" w14:textId="77777777" w:rsidR="00A51AA8" w:rsidRPr="005959EC" w:rsidRDefault="00A51AA8" w:rsidP="00AA3E21">
      <w:pPr>
        <w:pStyle w:val="FootnoteText"/>
        <w:rPr>
          <w:spacing w:val="-2"/>
        </w:rPr>
      </w:pPr>
      <w:r w:rsidRPr="00AA3E21">
        <w:rPr>
          <w:rStyle w:val="FootnoteReference"/>
        </w:rPr>
        <w:footnoteRef/>
      </w:r>
      <w:r>
        <w:tab/>
      </w:r>
      <w:r w:rsidRPr="005959EC">
        <w:rPr>
          <w:spacing w:val="-2"/>
        </w:rPr>
        <w:t xml:space="preserve">The priority classification scheme was introduced to give guidance as to the relative public health concern relating to the many determinands of public health significance that are listed in the WHO </w:t>
      </w:r>
      <w:r w:rsidRPr="005959EC">
        <w:rPr>
          <w:i/>
          <w:spacing w:val="-2"/>
        </w:rPr>
        <w:t>Guidelines for Drinking-water Quality</w:t>
      </w:r>
      <w:r w:rsidRPr="005959EC">
        <w:rPr>
          <w:spacing w:val="-2"/>
        </w:rPr>
        <w:t>. A detailed discussion of the priority classes is given in the DWSNZ.</w:t>
      </w:r>
    </w:p>
  </w:footnote>
  <w:footnote w:id="12">
    <w:p w14:paraId="041E35DA" w14:textId="77777777" w:rsidR="00A51AA8" w:rsidRDefault="00A51AA8" w:rsidP="002B1E0A">
      <w:pPr>
        <w:pStyle w:val="FootnoteText"/>
      </w:pPr>
      <w:r w:rsidRPr="002B1E0A">
        <w:rPr>
          <w:rStyle w:val="FootnoteReference"/>
        </w:rPr>
        <w:footnoteRef/>
      </w:r>
      <w:r>
        <w:tab/>
        <w:t xml:space="preserve">Actually, we can: </w:t>
      </w:r>
      <w:r>
        <w:rPr>
          <w:i/>
          <w:iCs/>
        </w:rPr>
        <w:t>any</w:t>
      </w:r>
      <w:r>
        <w:t xml:space="preserve"> distribution fits just one datum!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7CE"/>
    <w:multiLevelType w:val="hybridMultilevel"/>
    <w:tmpl w:val="E32A4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3C05C9"/>
    <w:multiLevelType w:val="hybridMultilevel"/>
    <w:tmpl w:val="025017A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3" w15:restartNumberingAfterBreak="0">
    <w:nsid w:val="01EB3954"/>
    <w:multiLevelType w:val="hybridMultilevel"/>
    <w:tmpl w:val="288277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5F81E56"/>
    <w:multiLevelType w:val="hybridMultilevel"/>
    <w:tmpl w:val="05C6C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7613D6E"/>
    <w:multiLevelType w:val="hybridMultilevel"/>
    <w:tmpl w:val="EB6E9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3728A6"/>
    <w:multiLevelType w:val="hybridMultilevel"/>
    <w:tmpl w:val="3E360B72"/>
    <w:lvl w:ilvl="0" w:tplc="08090001">
      <w:start w:val="1"/>
      <w:numFmt w:val="bullet"/>
      <w:lvlText w:val=""/>
      <w:lvlJc w:val="left"/>
      <w:pPr>
        <w:ind w:left="351"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8" w15:restartNumberingAfterBreak="0">
    <w:nsid w:val="0EA75EC0"/>
    <w:multiLevelType w:val="hybridMultilevel"/>
    <w:tmpl w:val="8286F4F6"/>
    <w:lvl w:ilvl="0" w:tplc="14090001">
      <w:start w:val="1"/>
      <w:numFmt w:val="bullet"/>
      <w:lvlText w:val=""/>
      <w:lvlJc w:val="left"/>
      <w:pPr>
        <w:ind w:left="35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84EBD"/>
    <w:multiLevelType w:val="hybridMultilevel"/>
    <w:tmpl w:val="EBDE2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925DE4"/>
    <w:multiLevelType w:val="hybridMultilevel"/>
    <w:tmpl w:val="8D3EF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5BD282C"/>
    <w:multiLevelType w:val="hybridMultilevel"/>
    <w:tmpl w:val="E6C0F9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594514"/>
    <w:multiLevelType w:val="hybridMultilevel"/>
    <w:tmpl w:val="88268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E23621A"/>
    <w:multiLevelType w:val="multilevel"/>
    <w:tmpl w:val="A2A8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B7373"/>
    <w:multiLevelType w:val="hybridMultilevel"/>
    <w:tmpl w:val="3B465ABA"/>
    <w:lvl w:ilvl="0" w:tplc="7D02542A">
      <w:start w:val="1"/>
      <w:numFmt w:val="bullet"/>
      <w:lvlText w:val="-"/>
      <w:lvlJc w:val="left"/>
      <w:pPr>
        <w:ind w:left="720" w:hanging="360"/>
      </w:pPr>
      <w:rPr>
        <w:rFonts w:ascii="Georgia" w:eastAsia="Times New Roman" w:hAnsi="Georg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672613"/>
    <w:multiLevelType w:val="hybridMultilevel"/>
    <w:tmpl w:val="CF1634E2"/>
    <w:lvl w:ilvl="0" w:tplc="08090001">
      <w:start w:val="1"/>
      <w:numFmt w:val="bullet"/>
      <w:lvlText w:val=""/>
      <w:lvlJc w:val="left"/>
      <w:pPr>
        <w:ind w:left="354"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22B35B33"/>
    <w:multiLevelType w:val="hybridMultilevel"/>
    <w:tmpl w:val="D7A09BC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74F3D86"/>
    <w:multiLevelType w:val="hybridMultilevel"/>
    <w:tmpl w:val="DA220E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90312A1"/>
    <w:multiLevelType w:val="multilevel"/>
    <w:tmpl w:val="65AAC482"/>
    <w:lvl w:ilvl="0">
      <w:start w:val="1"/>
      <w:numFmt w:val="decimal"/>
      <w:suff w:val="space"/>
      <w:lvlText w:val="Chapter %1:"/>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57185D"/>
    <w:multiLevelType w:val="hybridMultilevel"/>
    <w:tmpl w:val="C916E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B958CC"/>
    <w:multiLevelType w:val="hybridMultilevel"/>
    <w:tmpl w:val="818A0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F336C6A"/>
    <w:multiLevelType w:val="hybridMultilevel"/>
    <w:tmpl w:val="DE6EAB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F690E44"/>
    <w:multiLevelType w:val="hybridMultilevel"/>
    <w:tmpl w:val="CF72E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FC54637"/>
    <w:multiLevelType w:val="hybridMultilevel"/>
    <w:tmpl w:val="F8B00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E85D39"/>
    <w:multiLevelType w:val="hybridMultilevel"/>
    <w:tmpl w:val="582614FE"/>
    <w:lvl w:ilvl="0" w:tplc="08090001">
      <w:start w:val="1"/>
      <w:numFmt w:val="bullet"/>
      <w:lvlText w:val=""/>
      <w:lvlJc w:val="left"/>
      <w:pPr>
        <w:ind w:left="46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26"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4E2441"/>
    <w:multiLevelType w:val="multilevel"/>
    <w:tmpl w:val="7000087C"/>
    <w:lvl w:ilvl="0">
      <w:start w:val="1"/>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C564FC"/>
    <w:multiLevelType w:val="hybridMultilevel"/>
    <w:tmpl w:val="C248F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EB189320">
      <w:numFmt w:val="bullet"/>
      <w:lvlText w:val="•"/>
      <w:lvlJc w:val="left"/>
      <w:pPr>
        <w:ind w:left="1800" w:hanging="360"/>
      </w:pPr>
      <w:rPr>
        <w:rFonts w:ascii="Segoe UI" w:eastAsia="Times New Roman" w:hAnsi="Segoe UI"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E64769"/>
    <w:multiLevelType w:val="hybridMultilevel"/>
    <w:tmpl w:val="02C0F6A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F2E59E0"/>
    <w:multiLevelType w:val="hybridMultilevel"/>
    <w:tmpl w:val="44B2EFC6"/>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3953F70"/>
    <w:multiLevelType w:val="hybridMultilevel"/>
    <w:tmpl w:val="66DEEA24"/>
    <w:lvl w:ilvl="0" w:tplc="E68E9418">
      <w:start w:val="1"/>
      <w:numFmt w:val="decimal"/>
      <w:lvlText w:val="%1."/>
      <w:lvlJc w:val="left"/>
      <w:pPr>
        <w:ind w:left="643" w:hanging="360"/>
      </w:pPr>
    </w:lvl>
    <w:lvl w:ilvl="1" w:tplc="14090019">
      <w:start w:val="1"/>
      <w:numFmt w:val="lowerLetter"/>
      <w:lvlText w:val="%2."/>
      <w:lvlJc w:val="left"/>
      <w:pPr>
        <w:ind w:left="1363" w:hanging="360"/>
      </w:pPr>
    </w:lvl>
    <w:lvl w:ilvl="2" w:tplc="CDCECFFE">
      <w:start w:val="1"/>
      <w:numFmt w:val="lowerRoman"/>
      <w:lvlText w:val="%3."/>
      <w:lvlJc w:val="left"/>
      <w:pPr>
        <w:ind w:left="2083" w:hanging="180"/>
      </w:pPr>
      <w:rPr>
        <w:rFonts w:hint="default"/>
      </w:rPr>
    </w:lvl>
    <w:lvl w:ilvl="3" w:tplc="14090015">
      <w:start w:val="1"/>
      <w:numFmt w:val="upperLetter"/>
      <w:lvlText w:val="%4."/>
      <w:lvlJc w:val="left"/>
      <w:pPr>
        <w:ind w:left="2803" w:hanging="360"/>
      </w:pPr>
    </w:lvl>
    <w:lvl w:ilvl="4" w:tplc="14090019" w:tentative="1">
      <w:start w:val="1"/>
      <w:numFmt w:val="lowerLetter"/>
      <w:lvlText w:val="%5."/>
      <w:lvlJc w:val="left"/>
      <w:pPr>
        <w:ind w:left="3523" w:hanging="360"/>
      </w:pPr>
    </w:lvl>
    <w:lvl w:ilvl="5" w:tplc="1409001B" w:tentative="1">
      <w:start w:val="1"/>
      <w:numFmt w:val="lowerRoman"/>
      <w:lvlText w:val="%6."/>
      <w:lvlJc w:val="right"/>
      <w:pPr>
        <w:ind w:left="4243" w:hanging="180"/>
      </w:pPr>
    </w:lvl>
    <w:lvl w:ilvl="6" w:tplc="1409000F" w:tentative="1">
      <w:start w:val="1"/>
      <w:numFmt w:val="decimal"/>
      <w:lvlText w:val="%7."/>
      <w:lvlJc w:val="left"/>
      <w:pPr>
        <w:ind w:left="4963" w:hanging="360"/>
      </w:pPr>
    </w:lvl>
    <w:lvl w:ilvl="7" w:tplc="14090019" w:tentative="1">
      <w:start w:val="1"/>
      <w:numFmt w:val="lowerLetter"/>
      <w:lvlText w:val="%8."/>
      <w:lvlJc w:val="left"/>
      <w:pPr>
        <w:ind w:left="5683" w:hanging="360"/>
      </w:pPr>
    </w:lvl>
    <w:lvl w:ilvl="8" w:tplc="1409001B" w:tentative="1">
      <w:start w:val="1"/>
      <w:numFmt w:val="lowerRoman"/>
      <w:lvlText w:val="%9."/>
      <w:lvlJc w:val="right"/>
      <w:pPr>
        <w:ind w:left="6403" w:hanging="180"/>
      </w:pPr>
    </w:lvl>
  </w:abstractNum>
  <w:abstractNum w:abstractNumId="32" w15:restartNumberingAfterBreak="0">
    <w:nsid w:val="5AD44E86"/>
    <w:multiLevelType w:val="hybridMultilevel"/>
    <w:tmpl w:val="515EE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D95910"/>
    <w:multiLevelType w:val="hybridMultilevel"/>
    <w:tmpl w:val="1A860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C282661"/>
    <w:multiLevelType w:val="hybridMultilevel"/>
    <w:tmpl w:val="0130EBD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5D317D3F"/>
    <w:multiLevelType w:val="hybridMultilevel"/>
    <w:tmpl w:val="5AA25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1024CB9"/>
    <w:multiLevelType w:val="hybridMultilevel"/>
    <w:tmpl w:val="50A664B6"/>
    <w:lvl w:ilvl="0" w:tplc="39BC5E7A">
      <w:start w:val="1"/>
      <w:numFmt w:val="bullet"/>
      <w:lvlText w:val="•"/>
      <w:lvlJc w:val="left"/>
      <w:pPr>
        <w:tabs>
          <w:tab w:val="num" w:pos="720"/>
        </w:tabs>
        <w:ind w:left="720" w:hanging="360"/>
      </w:pPr>
      <w:rPr>
        <w:rFonts w:ascii="Arial" w:hAnsi="Arial" w:hint="default"/>
      </w:rPr>
    </w:lvl>
    <w:lvl w:ilvl="1" w:tplc="E5546124" w:tentative="1">
      <w:start w:val="1"/>
      <w:numFmt w:val="bullet"/>
      <w:lvlText w:val="•"/>
      <w:lvlJc w:val="left"/>
      <w:pPr>
        <w:tabs>
          <w:tab w:val="num" w:pos="1440"/>
        </w:tabs>
        <w:ind w:left="1440" w:hanging="360"/>
      </w:pPr>
      <w:rPr>
        <w:rFonts w:ascii="Arial" w:hAnsi="Arial" w:hint="default"/>
      </w:rPr>
    </w:lvl>
    <w:lvl w:ilvl="2" w:tplc="0C56C0F0" w:tentative="1">
      <w:start w:val="1"/>
      <w:numFmt w:val="bullet"/>
      <w:lvlText w:val="•"/>
      <w:lvlJc w:val="left"/>
      <w:pPr>
        <w:tabs>
          <w:tab w:val="num" w:pos="2160"/>
        </w:tabs>
        <w:ind w:left="2160" w:hanging="360"/>
      </w:pPr>
      <w:rPr>
        <w:rFonts w:ascii="Arial" w:hAnsi="Arial" w:hint="default"/>
      </w:rPr>
    </w:lvl>
    <w:lvl w:ilvl="3" w:tplc="6D363D5E" w:tentative="1">
      <w:start w:val="1"/>
      <w:numFmt w:val="bullet"/>
      <w:lvlText w:val="•"/>
      <w:lvlJc w:val="left"/>
      <w:pPr>
        <w:tabs>
          <w:tab w:val="num" w:pos="2880"/>
        </w:tabs>
        <w:ind w:left="2880" w:hanging="360"/>
      </w:pPr>
      <w:rPr>
        <w:rFonts w:ascii="Arial" w:hAnsi="Arial" w:hint="default"/>
      </w:rPr>
    </w:lvl>
    <w:lvl w:ilvl="4" w:tplc="9906E49A" w:tentative="1">
      <w:start w:val="1"/>
      <w:numFmt w:val="bullet"/>
      <w:lvlText w:val="•"/>
      <w:lvlJc w:val="left"/>
      <w:pPr>
        <w:tabs>
          <w:tab w:val="num" w:pos="3600"/>
        </w:tabs>
        <w:ind w:left="3600" w:hanging="360"/>
      </w:pPr>
      <w:rPr>
        <w:rFonts w:ascii="Arial" w:hAnsi="Arial" w:hint="default"/>
      </w:rPr>
    </w:lvl>
    <w:lvl w:ilvl="5" w:tplc="74684E62" w:tentative="1">
      <w:start w:val="1"/>
      <w:numFmt w:val="bullet"/>
      <w:lvlText w:val="•"/>
      <w:lvlJc w:val="left"/>
      <w:pPr>
        <w:tabs>
          <w:tab w:val="num" w:pos="4320"/>
        </w:tabs>
        <w:ind w:left="4320" w:hanging="360"/>
      </w:pPr>
      <w:rPr>
        <w:rFonts w:ascii="Arial" w:hAnsi="Arial" w:hint="default"/>
      </w:rPr>
    </w:lvl>
    <w:lvl w:ilvl="6" w:tplc="8EF02AF0" w:tentative="1">
      <w:start w:val="1"/>
      <w:numFmt w:val="bullet"/>
      <w:lvlText w:val="•"/>
      <w:lvlJc w:val="left"/>
      <w:pPr>
        <w:tabs>
          <w:tab w:val="num" w:pos="5040"/>
        </w:tabs>
        <w:ind w:left="5040" w:hanging="360"/>
      </w:pPr>
      <w:rPr>
        <w:rFonts w:ascii="Arial" w:hAnsi="Arial" w:hint="default"/>
      </w:rPr>
    </w:lvl>
    <w:lvl w:ilvl="7" w:tplc="8E223BD6" w:tentative="1">
      <w:start w:val="1"/>
      <w:numFmt w:val="bullet"/>
      <w:lvlText w:val="•"/>
      <w:lvlJc w:val="left"/>
      <w:pPr>
        <w:tabs>
          <w:tab w:val="num" w:pos="5760"/>
        </w:tabs>
        <w:ind w:left="5760" w:hanging="360"/>
      </w:pPr>
      <w:rPr>
        <w:rFonts w:ascii="Arial" w:hAnsi="Arial" w:hint="default"/>
      </w:rPr>
    </w:lvl>
    <w:lvl w:ilvl="8" w:tplc="06D4409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132EDA"/>
    <w:multiLevelType w:val="hybridMultilevel"/>
    <w:tmpl w:val="45B49088"/>
    <w:lvl w:ilvl="0" w:tplc="08090001">
      <w:start w:val="1"/>
      <w:numFmt w:val="bullet"/>
      <w:lvlText w:val=""/>
      <w:lvlJc w:val="left"/>
      <w:pPr>
        <w:ind w:left="35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3B866E5"/>
    <w:multiLevelType w:val="hybridMultilevel"/>
    <w:tmpl w:val="5D924470"/>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4E00E2"/>
    <w:multiLevelType w:val="hybridMultilevel"/>
    <w:tmpl w:val="4320B8CA"/>
    <w:lvl w:ilvl="0" w:tplc="D28E280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41" w15:restartNumberingAfterBreak="0">
    <w:nsid w:val="68F00BD9"/>
    <w:multiLevelType w:val="hybridMultilevel"/>
    <w:tmpl w:val="7136B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A660635"/>
    <w:multiLevelType w:val="hybridMultilevel"/>
    <w:tmpl w:val="BA6C3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FFE4619"/>
    <w:multiLevelType w:val="hybridMultilevel"/>
    <w:tmpl w:val="CE52D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10061DB"/>
    <w:multiLevelType w:val="hybridMultilevel"/>
    <w:tmpl w:val="D1D6A6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84C5C1F"/>
    <w:multiLevelType w:val="hybridMultilevel"/>
    <w:tmpl w:val="C1AC9E0A"/>
    <w:lvl w:ilvl="0" w:tplc="08090001">
      <w:start w:val="1"/>
      <w:numFmt w:val="bullet"/>
      <w:lvlText w:val=""/>
      <w:lvlJc w:val="left"/>
      <w:pPr>
        <w:ind w:left="35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47" w15:restartNumberingAfterBreak="0">
    <w:nsid w:val="7DF02633"/>
    <w:multiLevelType w:val="hybridMultilevel"/>
    <w:tmpl w:val="C23272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6"/>
  </w:num>
  <w:num w:numId="2">
    <w:abstractNumId w:val="24"/>
  </w:num>
  <w:num w:numId="3">
    <w:abstractNumId w:val="26"/>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8"/>
  </w:num>
  <w:num w:numId="9">
    <w:abstractNumId w:val="8"/>
  </w:num>
  <w:num w:numId="10">
    <w:abstractNumId w:val="2"/>
  </w:num>
  <w:num w:numId="11">
    <w:abstractNumId w:val="15"/>
  </w:num>
  <w:num w:numId="12">
    <w:abstractNumId w:val="7"/>
  </w:num>
  <w:num w:numId="13">
    <w:abstractNumId w:val="45"/>
  </w:num>
  <w:num w:numId="14">
    <w:abstractNumId w:val="37"/>
  </w:num>
  <w:num w:numId="15">
    <w:abstractNumId w:val="19"/>
  </w:num>
  <w:num w:numId="16">
    <w:abstractNumId w:val="12"/>
  </w:num>
  <w:num w:numId="17">
    <w:abstractNumId w:val="44"/>
  </w:num>
  <w:num w:numId="18">
    <w:abstractNumId w:val="47"/>
  </w:num>
  <w:num w:numId="19">
    <w:abstractNumId w:val="0"/>
  </w:num>
  <w:num w:numId="20">
    <w:abstractNumId w:val="30"/>
  </w:num>
  <w:num w:numId="21">
    <w:abstractNumId w:val="25"/>
  </w:num>
  <w:num w:numId="22">
    <w:abstractNumId w:val="13"/>
  </w:num>
  <w:num w:numId="23">
    <w:abstractNumId w:val="11"/>
  </w:num>
  <w:num w:numId="24">
    <w:abstractNumId w:val="6"/>
  </w:num>
  <w:num w:numId="25">
    <w:abstractNumId w:val="32"/>
  </w:num>
  <w:num w:numId="26">
    <w:abstractNumId w:val="5"/>
  </w:num>
  <w:num w:numId="27">
    <w:abstractNumId w:val="3"/>
  </w:num>
  <w:num w:numId="28">
    <w:abstractNumId w:val="33"/>
  </w:num>
  <w:num w:numId="29">
    <w:abstractNumId w:val="43"/>
  </w:num>
  <w:num w:numId="30">
    <w:abstractNumId w:val="21"/>
  </w:num>
  <w:num w:numId="31">
    <w:abstractNumId w:val="20"/>
  </w:num>
  <w:num w:numId="32">
    <w:abstractNumId w:val="41"/>
  </w:num>
  <w:num w:numId="33">
    <w:abstractNumId w:val="42"/>
  </w:num>
  <w:num w:numId="34">
    <w:abstractNumId w:val="23"/>
  </w:num>
  <w:num w:numId="35">
    <w:abstractNumId w:val="22"/>
  </w:num>
  <w:num w:numId="36">
    <w:abstractNumId w:val="10"/>
  </w:num>
  <w:num w:numId="37">
    <w:abstractNumId w:val="9"/>
  </w:num>
  <w:num w:numId="38">
    <w:abstractNumId w:val="17"/>
  </w:num>
  <w:num w:numId="39">
    <w:abstractNumId w:val="29"/>
  </w:num>
  <w:num w:numId="40">
    <w:abstractNumId w:val="40"/>
  </w:num>
  <w:num w:numId="41">
    <w:abstractNumId w:val="31"/>
  </w:num>
  <w:num w:numId="42">
    <w:abstractNumId w:val="35"/>
  </w:num>
  <w:num w:numId="43">
    <w:abstractNumId w:val="16"/>
  </w:num>
  <w:num w:numId="44">
    <w:abstractNumId w:val="14"/>
  </w:num>
  <w:num w:numId="45">
    <w:abstractNumId w:val="39"/>
  </w:num>
  <w:num w:numId="46">
    <w:abstractNumId w:val="36"/>
  </w:num>
  <w:num w:numId="47">
    <w:abstractNumId w:val="34"/>
  </w:num>
  <w:num w:numId="48">
    <w:abstractNumId w:val="27"/>
  </w:num>
  <w:num w:numId="4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9F4"/>
    <w:rsid w:val="000D58DD"/>
    <w:rsid w:val="000F2AE2"/>
    <w:rsid w:val="000F2BFF"/>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6617D"/>
    <w:rsid w:val="0017070E"/>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46DB1"/>
    <w:rsid w:val="002476B5"/>
    <w:rsid w:val="002520CC"/>
    <w:rsid w:val="00253ECF"/>
    <w:rsid w:val="00254044"/>
    <w:rsid w:val="002546A1"/>
    <w:rsid w:val="002575E8"/>
    <w:rsid w:val="002628F4"/>
    <w:rsid w:val="00275D08"/>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D0DF2"/>
    <w:rsid w:val="002D23BD"/>
    <w:rsid w:val="002E0B47"/>
    <w:rsid w:val="002F4685"/>
    <w:rsid w:val="002F7213"/>
    <w:rsid w:val="0030382F"/>
    <w:rsid w:val="0030408D"/>
    <w:rsid w:val="003060E4"/>
    <w:rsid w:val="003160E7"/>
    <w:rsid w:val="0031739E"/>
    <w:rsid w:val="003235C6"/>
    <w:rsid w:val="003309CA"/>
    <w:rsid w:val="003325AB"/>
    <w:rsid w:val="003332D1"/>
    <w:rsid w:val="0033412B"/>
    <w:rsid w:val="00341161"/>
    <w:rsid w:val="00343365"/>
    <w:rsid w:val="003445F4"/>
    <w:rsid w:val="00353501"/>
    <w:rsid w:val="00353734"/>
    <w:rsid w:val="003606F8"/>
    <w:rsid w:val="003648EF"/>
    <w:rsid w:val="003673E6"/>
    <w:rsid w:val="003741ED"/>
    <w:rsid w:val="00377264"/>
    <w:rsid w:val="003779D2"/>
    <w:rsid w:val="00385E38"/>
    <w:rsid w:val="00397776"/>
    <w:rsid w:val="003A26A5"/>
    <w:rsid w:val="003A3761"/>
    <w:rsid w:val="003A390D"/>
    <w:rsid w:val="003A512D"/>
    <w:rsid w:val="003A5FEA"/>
    <w:rsid w:val="003A710B"/>
    <w:rsid w:val="003B1D10"/>
    <w:rsid w:val="003B6AF5"/>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51C2"/>
    <w:rsid w:val="00516A27"/>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437F"/>
    <w:rsid w:val="005959EC"/>
    <w:rsid w:val="005A27CA"/>
    <w:rsid w:val="005A43BD"/>
    <w:rsid w:val="005A79E5"/>
    <w:rsid w:val="005B33C9"/>
    <w:rsid w:val="005D034C"/>
    <w:rsid w:val="005E226E"/>
    <w:rsid w:val="005E2636"/>
    <w:rsid w:val="006015D7"/>
    <w:rsid w:val="00601B21"/>
    <w:rsid w:val="006041F0"/>
    <w:rsid w:val="00605C6D"/>
    <w:rsid w:val="006120CA"/>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A6B09"/>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1741C"/>
    <w:rsid w:val="00740533"/>
    <w:rsid w:val="00742B90"/>
    <w:rsid w:val="0074434D"/>
    <w:rsid w:val="007570C4"/>
    <w:rsid w:val="00760503"/>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6F27"/>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0A0F"/>
    <w:rsid w:val="0085608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A5186"/>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0649D"/>
    <w:rsid w:val="009133F5"/>
    <w:rsid w:val="0091756F"/>
    <w:rsid w:val="00920A27"/>
    <w:rsid w:val="00921216"/>
    <w:rsid w:val="009216CC"/>
    <w:rsid w:val="00922E41"/>
    <w:rsid w:val="00925892"/>
    <w:rsid w:val="00926083"/>
    <w:rsid w:val="00926D08"/>
    <w:rsid w:val="00930D08"/>
    <w:rsid w:val="00931466"/>
    <w:rsid w:val="00932D69"/>
    <w:rsid w:val="00935589"/>
    <w:rsid w:val="00937408"/>
    <w:rsid w:val="009427FA"/>
    <w:rsid w:val="00944647"/>
    <w:rsid w:val="0095565C"/>
    <w:rsid w:val="00964AB6"/>
    <w:rsid w:val="00966F9A"/>
    <w:rsid w:val="0096789E"/>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1AA8"/>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A240C"/>
    <w:rsid w:val="00AA3E21"/>
    <w:rsid w:val="00AB0332"/>
    <w:rsid w:val="00AC101C"/>
    <w:rsid w:val="00AC5E4A"/>
    <w:rsid w:val="00AD4CF1"/>
    <w:rsid w:val="00AD5988"/>
    <w:rsid w:val="00AD6293"/>
    <w:rsid w:val="00AD73CB"/>
    <w:rsid w:val="00AE16AF"/>
    <w:rsid w:val="00AF7800"/>
    <w:rsid w:val="00B00CF5"/>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C7B71"/>
    <w:rsid w:val="00BD488E"/>
    <w:rsid w:val="00BE671C"/>
    <w:rsid w:val="00BE7C7A"/>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864"/>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6D06"/>
    <w:rsid w:val="00E376B7"/>
    <w:rsid w:val="00E42F5D"/>
    <w:rsid w:val="00E4486C"/>
    <w:rsid w:val="00E460B6"/>
    <w:rsid w:val="00E511D5"/>
    <w:rsid w:val="00E53A9F"/>
    <w:rsid w:val="00E57349"/>
    <w:rsid w:val="00E60249"/>
    <w:rsid w:val="00E65269"/>
    <w:rsid w:val="00E76D66"/>
    <w:rsid w:val="00EA4599"/>
    <w:rsid w:val="00EA796A"/>
    <w:rsid w:val="00EB1856"/>
    <w:rsid w:val="00EC50CE"/>
    <w:rsid w:val="00EC5B34"/>
    <w:rsid w:val="00ED021E"/>
    <w:rsid w:val="00ED323C"/>
    <w:rsid w:val="00EE2D5C"/>
    <w:rsid w:val="00EE4ADE"/>
    <w:rsid w:val="00EE4DE8"/>
    <w:rsid w:val="00EE5CB7"/>
    <w:rsid w:val="00F000BF"/>
    <w:rsid w:val="00F024FE"/>
    <w:rsid w:val="00F05AD4"/>
    <w:rsid w:val="00F10EB6"/>
    <w:rsid w:val="00F13F07"/>
    <w:rsid w:val="00F140B2"/>
    <w:rsid w:val="00F22EB8"/>
    <w:rsid w:val="00F25970"/>
    <w:rsid w:val="00F311A9"/>
    <w:rsid w:val="00F37381"/>
    <w:rsid w:val="00F5180D"/>
    <w:rsid w:val="00F63781"/>
    <w:rsid w:val="00F67496"/>
    <w:rsid w:val="00F727E9"/>
    <w:rsid w:val="00F7421E"/>
    <w:rsid w:val="00F801BA"/>
    <w:rsid w:val="00F807AD"/>
    <w:rsid w:val="00F9366A"/>
    <w:rsid w:val="00F946C9"/>
    <w:rsid w:val="00FA0EA5"/>
    <w:rsid w:val="00FA68C7"/>
    <w:rsid w:val="00FA74EE"/>
    <w:rsid w:val="00FC3711"/>
    <w:rsid w:val="00FC46E7"/>
    <w:rsid w:val="00FC5D25"/>
    <w:rsid w:val="00FD0D7E"/>
    <w:rsid w:val="00FD16C4"/>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E2DD1"/>
  <w15:docId w15:val="{AA087737-15C8-4ED6-BCBD-DA1B0204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48"/>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48"/>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48"/>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48"/>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850A0F"/>
    <w:rPr>
      <w:rFonts w:ascii="Segoe UI" w:hAnsi="Segoe UI"/>
      <w:sz w:val="16"/>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rsid w:val="009427FA"/>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character" w:customStyle="1" w:styleId="BulletChar">
    <w:name w:val="Bullet Char"/>
    <w:link w:val="Bullet"/>
    <w:locked/>
    <w:rsid w:val="002B7BEC"/>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yperlink" Target="https://surv.esr.cri.nz/PDF_surveillance/NZPHSR/2012/NZPHSR2012Mar.pdf" TargetMode="External"/><Relationship Id="rId42" Type="http://schemas.openxmlformats.org/officeDocument/2006/relationships/hyperlink" Target="http://www.health.govt.nz/publication/drinking-water-cost-benefit-analysis" TargetMode="External"/><Relationship Id="rId47" Type="http://schemas.openxmlformats.org/officeDocument/2006/relationships/hyperlink" Target="http://www.who.int/water_sanitation_health/wsh0404/en/" TargetMode="External"/><Relationship Id="rId63" Type="http://schemas.openxmlformats.org/officeDocument/2006/relationships/hyperlink" Target="http://www.who.int/water_sanitation_health/gdwqrevision/rrships/en/index.html" TargetMode="External"/><Relationship Id="rId68" Type="http://schemas.openxmlformats.org/officeDocument/2006/relationships/hyperlink" Target="http://whqlibdoc.who.int/publications/2011/9789241546690_eng.pdf"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rv.esr.cri.nz/PDF_surveillance/NZPHSR/2006/NZPHSR2006March.pdf" TargetMode="External"/><Relationship Id="rId29" Type="http://schemas.openxmlformats.org/officeDocument/2006/relationships/hyperlink" Target="http://www.answers.com/topic/pandemic" TargetMode="External"/><Relationship Id="rId11" Type="http://schemas.openxmlformats.org/officeDocument/2006/relationships/endnotes" Target="endnotes.xml"/><Relationship Id="rId24" Type="http://schemas.openxmlformats.org/officeDocument/2006/relationships/hyperlink" Target="http://www.ncbi.nlm.nih.gov/pubmed/24362738" TargetMode="External"/><Relationship Id="rId32" Type="http://schemas.openxmlformats.org/officeDocument/2006/relationships/hyperlink" Target="http://www.health.govt.nz/water" TargetMode="External"/><Relationship Id="rId37" Type="http://schemas.openxmlformats.org/officeDocument/2006/relationships/hyperlink" Target="http://water.epa.gov/lawsregs/rulesregs/sdwa/airlinewater/index.cfm" TargetMode="External"/><Relationship Id="rId40" Type="http://schemas.openxmlformats.org/officeDocument/2006/relationships/image" Target="media/image3.jpeg"/><Relationship Id="rId45" Type="http://schemas.openxmlformats.org/officeDocument/2006/relationships/hyperlink" Target="http://www.surv.esr.cri.nz" TargetMode="External"/><Relationship Id="rId53" Type="http://schemas.openxmlformats.org/officeDocument/2006/relationships/hyperlink" Target="http://dx.doi.org/10.1787/9789264100817-en" TargetMode="External"/><Relationship Id="rId58" Type="http://schemas.openxmlformats.org/officeDocument/2006/relationships/hyperlink" Target="http://www.epa.gov/nrmrl/pubs/600r03041/600r03041.htm" TargetMode="External"/><Relationship Id="rId66" Type="http://schemas.openxmlformats.org/officeDocument/2006/relationships/hyperlink" Target="http://www.who.int/water_sanitation_health/hygiene/ships/guide_hygiene_sanitation_aviation_3_edition.pdf" TargetMode="External"/><Relationship Id="rId5" Type="http://schemas.openxmlformats.org/officeDocument/2006/relationships/customXml" Target="../customXml/item5.xml"/><Relationship Id="rId61" Type="http://schemas.openxmlformats.org/officeDocument/2006/relationships/hyperlink" Target="http://www.who.int/water_sanitation_health/dwq/gdwq3/en/print.html" TargetMode="External"/><Relationship Id="rId19" Type="http://schemas.openxmlformats.org/officeDocument/2006/relationships/hyperlink" Target="http://www.3news.co.nz/Springston-residents-forced-to-boil-water-after-E-Coli-outbreak/tabid/423/articleID/49229/Default.aspx" TargetMode="External"/><Relationship Id="rId14" Type="http://schemas.openxmlformats.org/officeDocument/2006/relationships/footer" Target="footer3.xml"/><Relationship Id="rId22" Type="http://schemas.openxmlformats.org/officeDocument/2006/relationships/hyperlink" Target="http://www.iwaponline.com/jwh/up/wh2014155.htm" TargetMode="External"/><Relationship Id="rId27" Type="http://schemas.openxmlformats.org/officeDocument/2006/relationships/hyperlink" Target="http://www.answers.com/topic/epidemiology" TargetMode="External"/><Relationship Id="rId30" Type="http://schemas.openxmlformats.org/officeDocument/2006/relationships/image" Target="media/image1.png"/><Relationship Id="rId35" Type="http://schemas.openxmlformats.org/officeDocument/2006/relationships/hyperlink" Target="http://www.health.govt.nz/" TargetMode="External"/><Relationship Id="rId43" Type="http://schemas.openxmlformats.org/officeDocument/2006/relationships/hyperlink" Target="http://www.who.int/water_sanitation_health/diseases/zoonoses/en/" TargetMode="External"/><Relationship Id="rId48" Type="http://schemas.openxmlformats.org/officeDocument/2006/relationships/hyperlink" Target="http://www.ianz.govt.nz" TargetMode="External"/><Relationship Id="rId56" Type="http://schemas.openxmlformats.org/officeDocument/2006/relationships/hyperlink" Target="https://www.health.govt.nz/publication/economic-costs-havelock-north-august-2016-waterborne-disease-outbreak" TargetMode="External"/><Relationship Id="rId64" Type="http://schemas.openxmlformats.org/officeDocument/2006/relationships/hyperlink" Target="http://www.who.int/ihr/ports_airports/en/" TargetMode="External"/><Relationship Id="rId69" Type="http://schemas.openxmlformats.org/officeDocument/2006/relationships/hyperlink" Target="http://www.who.int/water_sanitation_health/publications/drinking-water-quality-guidelines-4-including-1st-addendum/en/" TargetMode="External"/><Relationship Id="rId8" Type="http://schemas.openxmlformats.org/officeDocument/2006/relationships/settings" Target="settings.xml"/><Relationship Id="rId51" Type="http://schemas.openxmlformats.org/officeDocument/2006/relationships/hyperlink" Target="http://www.health.govt.nz/publication/rural-agricultural-drinking-water-supply-guidelin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surv.esr.cri.nz/PDF_surveillance/NZPHSR/2007/NZPHSR200712Dec.pdf" TargetMode="External"/><Relationship Id="rId25" Type="http://schemas.openxmlformats.org/officeDocument/2006/relationships/hyperlink" Target="https://www.dia.govt.nz/Government-Inquiry-into-Havelock-North-Drinking-Water" TargetMode="External"/><Relationship Id="rId33" Type="http://schemas.openxmlformats.org/officeDocument/2006/relationships/hyperlink" Target="http://www.health.govt.nz/water" TargetMode="External"/><Relationship Id="rId38" Type="http://schemas.openxmlformats.org/officeDocument/2006/relationships/hyperlink" Target="http://www.who.int/csr/ihr/en/" TargetMode="External"/><Relationship Id="rId46" Type="http://schemas.openxmlformats.org/officeDocument/2006/relationships/hyperlink" Target="https://www.dia.govt.nz/diawebsite.nsf/Files/Havelock-North-Submissions/$file/Havelock-Submissions-Hrudey-Mar-31.pdf" TargetMode="External"/><Relationship Id="rId59" Type="http://schemas.openxmlformats.org/officeDocument/2006/relationships/hyperlink" Target="http://nepis.epa.gov/Exe/ZyNET.exe/100046K6.TXT?ZyActionD=ZyDocument&amp;Client=EPA&amp;Index=2000+Thru+2005&amp;Docs=&amp;Query=&amp;Time=&amp;EndTime=&amp;SearchMethod=1&amp;TocRestrict=n&amp;Toc=&amp;TocEntry=&amp;QField=&amp;QFieldYear=&amp;QFieldMonth=&amp;QFieldDay=&amp;IntQFieldOp=0&amp;ExtQFieldOp=0&amp;XmlQuery=&amp;File=D%3A%5Czyfiles%5CIndex%20Data%5C00thru05%5CTxt%5C00000006%5C100046K6.txt&amp;User=ANONYMOUS&amp;Password=anonymous&amp;SortMethod=h%7C-&amp;MaximumDocuments=1&amp;FuzzyDegree=0&amp;ImageQuality=r75g8/r75g8/x150y150g16/i425&amp;Display=p%7Cf&amp;DefSeekPage=x&amp;SearchBack=ZyActionL&amp;Back=ZyActionS&amp;BackDesc=Results%20page&amp;MaximumPages=1&amp;ZyEntry=1&amp;SeekPage=x&amp;ZyPURL" TargetMode="External"/><Relationship Id="rId67" Type="http://schemas.openxmlformats.org/officeDocument/2006/relationships/hyperlink" Target="http://www.who.int/water_sanitation_health/publications/2011/dwq_guidelines/en/index.html" TargetMode="External"/><Relationship Id="rId20" Type="http://schemas.openxmlformats.org/officeDocument/2006/relationships/hyperlink" Target="http://www.stuff.co.nz/nelson-mail/news/3655382/Lessons-from-norovirus-episode" TargetMode="External"/><Relationship Id="rId41" Type="http://schemas.openxmlformats.org/officeDocument/2006/relationships/hyperlink" Target="http://www.health.gov.au/internet/publications/publishing.nsf/Content/ohp-enhealth-raintank-cnt-l~ohp-enhealth-raintank-cnt-l-5~ohp-enhealth-raintank-cnt-l-5.7" TargetMode="External"/><Relationship Id="rId54" Type="http://schemas.openxmlformats.org/officeDocument/2006/relationships/hyperlink" Target="https://www.qld.gov.au/health/staying-healthy/environmental/after-a-disaster/bushfires/fire-retardants-and-health" TargetMode="External"/><Relationship Id="rId62" Type="http://schemas.openxmlformats.org/officeDocument/2006/relationships/hyperlink" Target="http://www.who.int/ihr/9789241596664/en/index.html"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surv.esr.cri.nz/PDF_surveillance/NZPHSR/2012/NZPHSR2012Sep.pdf" TargetMode="External"/><Relationship Id="rId28" Type="http://schemas.openxmlformats.org/officeDocument/2006/relationships/hyperlink" Target="http://www.answers.com/topic/epidemic" TargetMode="External"/><Relationship Id="rId36" Type="http://schemas.openxmlformats.org/officeDocument/2006/relationships/hyperlink" Target="http://www.health.govt.nz/water" TargetMode="External"/><Relationship Id="rId49" Type="http://schemas.openxmlformats.org/officeDocument/2006/relationships/hyperlink" Target="http://www.health.govt.nz/publication/drinking-water-cost-benefit-analysis" TargetMode="External"/><Relationship Id="rId57" Type="http://schemas.openxmlformats.org/officeDocument/2006/relationships/hyperlink" Target="http://www.who.int/water_sanitation_health/diseases/zoonoses/en/" TargetMode="External"/><Relationship Id="rId10" Type="http://schemas.openxmlformats.org/officeDocument/2006/relationships/footnotes" Target="footnotes.xml"/><Relationship Id="rId31" Type="http://schemas.openxmlformats.org/officeDocument/2006/relationships/hyperlink" Target="http://www.health.govt.nz/water" TargetMode="External"/><Relationship Id="rId44" Type="http://schemas.openxmlformats.org/officeDocument/2006/relationships/hyperlink" Target="http://www.ncbi.nlm.nih.gov/pubmed?term=%22Dupont%20DP%22%5BAuthor%5D" TargetMode="External"/><Relationship Id="rId52" Type="http://schemas.openxmlformats.org/officeDocument/2006/relationships/hyperlink" Target="https://www.health.govt.nz/publication/new-zealand-drinking-water-safety-plan-framework" TargetMode="External"/><Relationship Id="rId60" Type="http://schemas.openxmlformats.org/officeDocument/2006/relationships/hyperlink" Target="https://www2.health.vic.gov.au/public-health/environmental-health/environmental-health-in-the-community/fire-retardants-and-health" TargetMode="External"/><Relationship Id="rId65" Type="http://schemas.openxmlformats.org/officeDocument/2006/relationships/hyperlink" Target="http://www.who.int/water_sanitation_health/gdwqrevision/aviation/en/index.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surv.esr.cri.nz/PDF_surveillance/NZPHSR/2007/NZPHSR200709Sept.pdf" TargetMode="External"/><Relationship Id="rId39" Type="http://schemas.openxmlformats.org/officeDocument/2006/relationships/image" Target="media/image2.jpeg"/><Relationship Id="rId34" Type="http://schemas.openxmlformats.org/officeDocument/2006/relationships/hyperlink" Target="http://www.health.govt.nz/water" TargetMode="External"/><Relationship Id="rId50" Type="http://schemas.openxmlformats.org/officeDocument/2006/relationships/hyperlink" Target="https://www.health.govt.nz/publication/guidelines-safe-carriage-and-delivery-drinking-water" TargetMode="External"/><Relationship Id="rId55" Type="http://schemas.openxmlformats.org/officeDocument/2006/relationships/hyperlink" Target="http://www.who.int/water_sanitation_health/diseases/zoonose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ARAWAI-340877307-212</_dlc_DocId>
    <_dlc_DocIdUrl xmlns="1590647d-501e-4ab7-adcf-0b6cfcb946d0">
      <Url>https://taumataarowai.sharepoint.com/sites/DMS_SystemandSectorEngagement/_layouts/15/DocIdRedir.aspx?ID=ARAWAI-340877307-212</Url>
      <Description>ARAWAI-340877307-212</Description>
    </_dlc_DocIdUrl>
  </documentManagement>
</p:properties>
</file>

<file path=customXml/itemProps1.xml><?xml version="1.0" encoding="utf-8"?>
<ds:datastoreItem xmlns:ds="http://schemas.openxmlformats.org/officeDocument/2006/customXml" ds:itemID="{3BE2295D-143F-430C-BBA2-EF78CCFCD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08C72-D741-40B5-A051-8BF95E4EE900}">
  <ds:schemaRefs>
    <ds:schemaRef ds:uri="http://schemas.microsoft.com/sharepoint/events"/>
  </ds:schemaRefs>
</ds:datastoreItem>
</file>

<file path=customXml/itemProps3.xml><?xml version="1.0" encoding="utf-8"?>
<ds:datastoreItem xmlns:ds="http://schemas.openxmlformats.org/officeDocument/2006/customXml" ds:itemID="{D608151B-612D-48FF-B4EB-252B5B4082A0}">
  <ds:schemaRefs>
    <ds:schemaRef ds:uri="http://schemas.microsoft.com/sharepoint/v3/contenttype/forms"/>
  </ds:schemaRefs>
</ds:datastoreItem>
</file>

<file path=customXml/itemProps4.xml><?xml version="1.0" encoding="utf-8"?>
<ds:datastoreItem xmlns:ds="http://schemas.openxmlformats.org/officeDocument/2006/customXml" ds:itemID="{CED321C8-92C0-401C-A7F7-C77A7D35FDCE}">
  <ds:schemaRefs>
    <ds:schemaRef ds:uri="http://schemas.openxmlformats.org/officeDocument/2006/bibliography"/>
  </ds:schemaRefs>
</ds:datastoreItem>
</file>

<file path=customXml/itemProps5.xml><?xml version="1.0" encoding="utf-8"?>
<ds:datastoreItem xmlns:ds="http://schemas.openxmlformats.org/officeDocument/2006/customXml" ds:itemID="{973FBCC2-A6AA-49FC-B97C-253C74F736CB}">
  <ds:schemaRefs>
    <ds:schemaRef ds:uri="http://schemas.microsoft.com/office/2006/metadata/properties"/>
    <ds:schemaRef ds:uri="http://schemas.microsoft.com/office/infopath/2007/PartnerControls"/>
    <ds:schemaRef ds:uri="1590647d-501e-4ab7-adcf-0b6cfcb946d0"/>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112</TotalTime>
  <Pages>2</Pages>
  <Words>22519</Words>
  <Characters>128360</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1: Introduction</dc:title>
  <dc:creator>Ministry of Health</dc:creator>
  <cp:lastModifiedBy>Oliver Findlay-Badham</cp:lastModifiedBy>
  <cp:revision>24</cp:revision>
  <cp:lastPrinted>2015-11-17T05:02:00Z</cp:lastPrinted>
  <dcterms:created xsi:type="dcterms:W3CDTF">2019-05-16T20:18:00Z</dcterms:created>
  <dcterms:modified xsi:type="dcterms:W3CDTF">2021-11-30T02:42:00Z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2700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51e6837f-d558-4fb2-ab6c-afd1e06b6b79</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2021-11-30T02:42:14Z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86c6adf8-a3e9-430d-a1e5-956b66a1ad40</vt:lpwstr>
  </property>
  <property fmtid="{D5CDD505-2E9C-101B-9397-08002B2CF9AE}" pid="13" name="MSIP_Label_c34c5bb1-72b7-4e17-a9b6-e671780ca3ee_ContentBits">
    <vt:lpwstr>0</vt:lpwstr>
  </property>
</Properties>
</file>